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8ECCA" w14:textId="77777777" w:rsidR="009E799F" w:rsidRPr="000A70E5" w:rsidRDefault="009E799F" w:rsidP="009E799F">
      <w:pPr>
        <w:rPr>
          <w:rFonts w:ascii="Corbel" w:hAnsi="Corbel"/>
          <w:b/>
          <w:color w:val="002060"/>
          <w:sz w:val="56"/>
          <w:szCs w:val="56"/>
          <w:lang w:val="it-IT"/>
        </w:rPr>
      </w:pPr>
      <w:bookmarkStart w:id="0" w:name="_Toc32160817"/>
      <w:bookmarkStart w:id="1" w:name="_Toc32160807"/>
    </w:p>
    <w:p w14:paraId="1130D442" w14:textId="77777777" w:rsidR="009E799F" w:rsidRPr="000A70E5" w:rsidRDefault="009E799F" w:rsidP="009E799F">
      <w:pPr>
        <w:rPr>
          <w:rFonts w:ascii="Corbel" w:hAnsi="Corbel"/>
          <w:b/>
          <w:color w:val="002060"/>
          <w:sz w:val="56"/>
          <w:szCs w:val="56"/>
          <w:lang w:val="it-IT"/>
        </w:rPr>
      </w:pPr>
    </w:p>
    <w:p w14:paraId="43A550B7" w14:textId="5FB1C10A" w:rsidR="000A70E5" w:rsidRPr="000A70E5" w:rsidRDefault="000A70E5" w:rsidP="000A70E5">
      <w:pPr>
        <w:jc w:val="left"/>
        <w:rPr>
          <w:rFonts w:ascii="Corbel" w:hAnsi="Corbel"/>
          <w:b/>
          <w:color w:val="002060"/>
          <w:sz w:val="56"/>
          <w:szCs w:val="56"/>
          <w:lang w:val="it-IT"/>
        </w:rPr>
      </w:pPr>
      <w:bookmarkStart w:id="2" w:name="_GoBack"/>
      <w:r w:rsidRPr="000A70E5">
        <w:rPr>
          <w:rFonts w:ascii="Corbel" w:hAnsi="Corbel"/>
          <w:b/>
          <w:color w:val="002060"/>
          <w:sz w:val="56"/>
          <w:szCs w:val="56"/>
          <w:lang w:val="it-IT"/>
        </w:rPr>
        <w:t xml:space="preserve">Carta aziendale per </w:t>
      </w:r>
      <w:r w:rsidR="00E80499">
        <w:rPr>
          <w:rFonts w:ascii="Corbel" w:hAnsi="Corbel"/>
          <w:b/>
          <w:color w:val="002060"/>
          <w:sz w:val="56"/>
          <w:szCs w:val="56"/>
          <w:lang w:val="it-IT"/>
        </w:rPr>
        <w:t>un</w:t>
      </w:r>
      <w:r w:rsidRPr="000A70E5">
        <w:rPr>
          <w:rFonts w:ascii="Corbel" w:hAnsi="Corbel"/>
          <w:b/>
          <w:color w:val="002060"/>
          <w:sz w:val="56"/>
          <w:szCs w:val="56"/>
          <w:lang w:val="it-IT"/>
        </w:rPr>
        <w:t>a ristorazione sostenibile</w:t>
      </w:r>
    </w:p>
    <w:bookmarkEnd w:id="2"/>
    <w:p w14:paraId="1934338C" w14:textId="77777777" w:rsidR="004D2523" w:rsidRPr="000A70E5" w:rsidRDefault="004D2523" w:rsidP="004D2523">
      <w:pPr>
        <w:jc w:val="left"/>
        <w:rPr>
          <w:rFonts w:ascii="Corbel" w:hAnsi="Corbel"/>
          <w:b/>
          <w:color w:val="002060"/>
          <w:sz w:val="56"/>
          <w:szCs w:val="56"/>
          <w:lang w:val="it-IT"/>
        </w:rPr>
      </w:pPr>
    </w:p>
    <w:p w14:paraId="0518B812" w14:textId="31E6D6C8" w:rsidR="002827FB" w:rsidRPr="000A70E5" w:rsidRDefault="00144941" w:rsidP="009E799F">
      <w:pPr>
        <w:rPr>
          <w:rFonts w:ascii="Corbel" w:hAnsi="Corbel"/>
          <w:b/>
          <w:i/>
          <w:color w:val="002060"/>
          <w:sz w:val="32"/>
          <w:szCs w:val="36"/>
          <w:lang w:val="it-IT"/>
        </w:rPr>
      </w:pPr>
      <w:r w:rsidRPr="000A70E5">
        <w:rPr>
          <w:rFonts w:ascii="Corbel" w:hAnsi="Corbel"/>
          <w:b/>
          <w:i/>
          <w:color w:val="002060"/>
          <w:sz w:val="32"/>
          <w:szCs w:val="36"/>
          <w:lang w:val="it-IT"/>
        </w:rPr>
        <w:t xml:space="preserve">Destinato a </w:t>
      </w:r>
      <w:r w:rsidR="00B739E8" w:rsidRPr="000A70E5">
        <w:rPr>
          <w:rFonts w:ascii="Corbel" w:hAnsi="Corbel"/>
          <w:b/>
          <w:i/>
          <w:color w:val="002060"/>
          <w:sz w:val="32"/>
          <w:szCs w:val="36"/>
          <w:lang w:val="it-IT"/>
        </w:rPr>
        <w:t xml:space="preserve">tutti gli </w:t>
      </w:r>
      <w:r w:rsidR="00056183" w:rsidRPr="000A70E5">
        <w:rPr>
          <w:rFonts w:ascii="Corbel" w:hAnsi="Corbel"/>
          <w:b/>
          <w:i/>
          <w:color w:val="002060"/>
          <w:sz w:val="32"/>
          <w:szCs w:val="36"/>
          <w:lang w:val="it-IT"/>
        </w:rPr>
        <w:t>operatori</w:t>
      </w:r>
      <w:r w:rsidR="00B739E8" w:rsidRPr="000A70E5">
        <w:rPr>
          <w:rFonts w:ascii="Corbel" w:hAnsi="Corbel"/>
          <w:b/>
          <w:i/>
          <w:color w:val="002060"/>
          <w:sz w:val="32"/>
          <w:szCs w:val="36"/>
          <w:lang w:val="it-IT"/>
        </w:rPr>
        <w:t xml:space="preserve"> interni o esterni</w:t>
      </w:r>
    </w:p>
    <w:p w14:paraId="41043162" w14:textId="58E75E3B" w:rsidR="002827FB" w:rsidRPr="000A70E5" w:rsidRDefault="002827FB" w:rsidP="009E799F">
      <w:pPr>
        <w:rPr>
          <w:rFonts w:ascii="Corbel" w:hAnsi="Corbel"/>
          <w:b/>
          <w:i/>
          <w:color w:val="002060"/>
          <w:sz w:val="32"/>
          <w:szCs w:val="36"/>
          <w:lang w:val="it-IT"/>
        </w:rPr>
      </w:pPr>
    </w:p>
    <w:p w14:paraId="3F16F146" w14:textId="6E32DD39" w:rsidR="002827FB" w:rsidRPr="000A70E5" w:rsidRDefault="002827FB" w:rsidP="009E799F">
      <w:pPr>
        <w:rPr>
          <w:rFonts w:ascii="Corbel" w:hAnsi="Corbel"/>
          <w:b/>
          <w:i/>
          <w:color w:val="002060"/>
          <w:sz w:val="32"/>
          <w:szCs w:val="36"/>
          <w:lang w:val="it-IT"/>
        </w:rPr>
      </w:pPr>
    </w:p>
    <w:p w14:paraId="305DC8E5" w14:textId="77777777" w:rsidR="002827FB" w:rsidRPr="000A70E5" w:rsidRDefault="002827FB" w:rsidP="009E799F">
      <w:pPr>
        <w:rPr>
          <w:rFonts w:ascii="Corbel" w:hAnsi="Corbel"/>
          <w:b/>
          <w:i/>
          <w:color w:val="002060"/>
          <w:sz w:val="32"/>
          <w:szCs w:val="36"/>
          <w:lang w:val="it-IT"/>
        </w:rPr>
      </w:pPr>
    </w:p>
    <w:p w14:paraId="552C767A" w14:textId="77777777" w:rsidR="009E799F" w:rsidRPr="000A70E5" w:rsidRDefault="009E799F" w:rsidP="009E799F">
      <w:pPr>
        <w:rPr>
          <w:lang w:val="it-IT"/>
        </w:rPr>
      </w:pPr>
    </w:p>
    <w:p w14:paraId="25C9FDEA" w14:textId="77777777" w:rsidR="009E799F" w:rsidRPr="000A70E5" w:rsidRDefault="009E799F" w:rsidP="009E799F">
      <w:pPr>
        <w:rPr>
          <w:lang w:val="it-IT"/>
        </w:rPr>
      </w:pPr>
    </w:p>
    <w:p w14:paraId="511EBA72" w14:textId="77777777" w:rsidR="009E799F" w:rsidRPr="000A70E5" w:rsidRDefault="009E799F" w:rsidP="009E799F">
      <w:pPr>
        <w:rPr>
          <w:lang w:val="it-IT"/>
        </w:rPr>
      </w:pPr>
    </w:p>
    <w:p w14:paraId="22E38959" w14:textId="77777777" w:rsidR="009E799F" w:rsidRPr="000A70E5" w:rsidRDefault="009E799F" w:rsidP="009E799F">
      <w:pPr>
        <w:rPr>
          <w:lang w:val="it-IT"/>
        </w:rPr>
      </w:pPr>
    </w:p>
    <w:p w14:paraId="0E18DE52" w14:textId="77777777" w:rsidR="009E799F" w:rsidRPr="000A70E5" w:rsidRDefault="009E799F" w:rsidP="009E799F">
      <w:pPr>
        <w:rPr>
          <w:lang w:val="it-IT"/>
        </w:rPr>
      </w:pPr>
    </w:p>
    <w:p w14:paraId="6B15B219" w14:textId="77777777" w:rsidR="009E799F" w:rsidRPr="000A70E5" w:rsidRDefault="009E799F" w:rsidP="009E799F">
      <w:pPr>
        <w:rPr>
          <w:lang w:val="it-IT"/>
        </w:rPr>
      </w:pPr>
    </w:p>
    <w:p w14:paraId="3A5E5FC5" w14:textId="77777777" w:rsidR="009E799F" w:rsidRPr="000A70E5" w:rsidRDefault="009E799F" w:rsidP="009E799F">
      <w:pPr>
        <w:rPr>
          <w:lang w:val="it-IT"/>
        </w:rPr>
      </w:pPr>
    </w:p>
    <w:p w14:paraId="518CD79D" w14:textId="77777777" w:rsidR="009E799F" w:rsidRPr="000A70E5" w:rsidRDefault="009E799F" w:rsidP="009E799F">
      <w:pPr>
        <w:rPr>
          <w:lang w:val="it-IT"/>
        </w:rPr>
      </w:pPr>
    </w:p>
    <w:p w14:paraId="23389414" w14:textId="77777777" w:rsidR="009E799F" w:rsidRPr="000A70E5" w:rsidRDefault="009E799F" w:rsidP="009E799F">
      <w:pPr>
        <w:rPr>
          <w:lang w:val="it-IT"/>
        </w:rPr>
      </w:pPr>
    </w:p>
    <w:p w14:paraId="4C958846" w14:textId="77777777" w:rsidR="009E799F" w:rsidRPr="000A70E5" w:rsidRDefault="009E799F" w:rsidP="009E799F">
      <w:pPr>
        <w:rPr>
          <w:lang w:val="it-IT"/>
        </w:rPr>
      </w:pPr>
    </w:p>
    <w:p w14:paraId="64384CC2" w14:textId="77777777" w:rsidR="009E799F" w:rsidRPr="000A70E5" w:rsidRDefault="009E799F" w:rsidP="009E799F">
      <w:pPr>
        <w:rPr>
          <w:lang w:val="it-IT"/>
        </w:rPr>
      </w:pPr>
    </w:p>
    <w:p w14:paraId="5EE58E29" w14:textId="77777777" w:rsidR="009E799F" w:rsidRPr="000A70E5" w:rsidRDefault="009E799F" w:rsidP="009E799F">
      <w:pPr>
        <w:rPr>
          <w:lang w:val="it-IT"/>
        </w:rPr>
      </w:pPr>
    </w:p>
    <w:p w14:paraId="278B9303" w14:textId="77777777" w:rsidR="009E799F" w:rsidRPr="000A70E5" w:rsidRDefault="009E799F" w:rsidP="009E799F">
      <w:pPr>
        <w:rPr>
          <w:lang w:val="it-IT"/>
        </w:rPr>
      </w:pPr>
    </w:p>
    <w:p w14:paraId="3093A4F2" w14:textId="77777777" w:rsidR="009E799F" w:rsidRPr="000A70E5" w:rsidRDefault="009E799F" w:rsidP="009E799F">
      <w:pPr>
        <w:rPr>
          <w:lang w:val="it-IT"/>
        </w:rPr>
      </w:pPr>
    </w:p>
    <w:p w14:paraId="2B2B9D00" w14:textId="77777777" w:rsidR="009E799F" w:rsidRPr="000A70E5" w:rsidRDefault="009E799F" w:rsidP="009E799F">
      <w:pPr>
        <w:rPr>
          <w:lang w:val="it-IT"/>
        </w:rPr>
      </w:pPr>
    </w:p>
    <w:p w14:paraId="4332CE9C" w14:textId="77777777" w:rsidR="009E799F" w:rsidRPr="000A70E5" w:rsidRDefault="009E799F" w:rsidP="009E799F">
      <w:pPr>
        <w:rPr>
          <w:lang w:val="it-IT"/>
        </w:rPr>
      </w:pPr>
    </w:p>
    <w:p w14:paraId="781C0B0D" w14:textId="4590D2EA" w:rsidR="009E799F" w:rsidRPr="000A70E5" w:rsidRDefault="009E799F" w:rsidP="009E799F">
      <w:pPr>
        <w:rPr>
          <w:lang w:val="it-IT"/>
        </w:rPr>
      </w:pPr>
    </w:p>
    <w:p w14:paraId="5FF838E4" w14:textId="50AB7385" w:rsidR="006109A0" w:rsidRPr="000A70E5" w:rsidRDefault="006109A0" w:rsidP="009E799F">
      <w:pPr>
        <w:rPr>
          <w:lang w:val="it-IT"/>
        </w:rPr>
      </w:pPr>
    </w:p>
    <w:p w14:paraId="5C7B9659" w14:textId="77777777" w:rsidR="006109A0" w:rsidRPr="000A70E5" w:rsidRDefault="006109A0" w:rsidP="009E799F">
      <w:pPr>
        <w:rPr>
          <w:lang w:val="it-IT"/>
        </w:rPr>
      </w:pPr>
    </w:p>
    <w:p w14:paraId="0704D812" w14:textId="77777777" w:rsidR="009E799F" w:rsidRPr="000A70E5" w:rsidRDefault="009E799F" w:rsidP="009E799F">
      <w:pPr>
        <w:rPr>
          <w:lang w:val="it-IT"/>
        </w:rPr>
      </w:pPr>
    </w:p>
    <w:p w14:paraId="66E0DB98" w14:textId="77777777" w:rsidR="009E799F" w:rsidRPr="000A70E5" w:rsidRDefault="009E799F" w:rsidP="009E799F">
      <w:pPr>
        <w:rPr>
          <w:lang w:val="it-IT"/>
        </w:rPr>
      </w:pPr>
    </w:p>
    <w:p w14:paraId="28F5CE89" w14:textId="77777777" w:rsidR="009E799F" w:rsidRPr="000A70E5" w:rsidRDefault="009E799F" w:rsidP="009E799F">
      <w:pPr>
        <w:rPr>
          <w:lang w:val="it-IT"/>
        </w:rPr>
      </w:pPr>
    </w:p>
    <w:p w14:paraId="79013728" w14:textId="77777777" w:rsidR="009E799F" w:rsidRPr="000A70E5" w:rsidRDefault="009E799F" w:rsidP="009E799F">
      <w:pPr>
        <w:rPr>
          <w:lang w:val="it-IT"/>
        </w:rPr>
      </w:pPr>
    </w:p>
    <w:p w14:paraId="3EADEE1F" w14:textId="77777777" w:rsidR="009E799F" w:rsidRPr="000A70E5" w:rsidRDefault="009E799F" w:rsidP="009E799F">
      <w:pPr>
        <w:rPr>
          <w:lang w:val="it-IT"/>
        </w:rPr>
      </w:pPr>
    </w:p>
    <w:p w14:paraId="063D2DD3" w14:textId="77777777" w:rsidR="00E14E2F" w:rsidRDefault="00E14E2F" w:rsidP="009E799F">
      <w:pPr>
        <w:rPr>
          <w:lang w:val="it-IT"/>
        </w:rPr>
      </w:pPr>
    </w:p>
    <w:p w14:paraId="2EE701B3" w14:textId="77777777" w:rsidR="00E14E2F" w:rsidRDefault="00E14E2F" w:rsidP="009E799F">
      <w:pPr>
        <w:rPr>
          <w:lang w:val="it-IT"/>
        </w:rPr>
      </w:pPr>
    </w:p>
    <w:p w14:paraId="78EEEA52" w14:textId="77777777" w:rsidR="00E14E2F" w:rsidRDefault="00E14E2F" w:rsidP="009E799F">
      <w:pPr>
        <w:rPr>
          <w:lang w:val="it-IT"/>
        </w:rPr>
      </w:pPr>
    </w:p>
    <w:p w14:paraId="3194E704" w14:textId="00A03704" w:rsidR="009E799F" w:rsidRPr="000A70E5" w:rsidRDefault="009E799F" w:rsidP="009E799F">
      <w:pPr>
        <w:rPr>
          <w:lang w:val="it-IT"/>
        </w:rPr>
      </w:pPr>
      <w:r w:rsidRPr="000A70E5">
        <w:rPr>
          <w:rFonts w:ascii="Arial" w:hAnsi="Arial" w:cs="Arial"/>
          <w:noProof/>
          <w:sz w:val="17"/>
          <w:lang w:val="de-CH" w:eastAsia="de-CH"/>
        </w:rPr>
        <w:drawing>
          <wp:anchor distT="0" distB="0" distL="114300" distR="114300" simplePos="0" relativeHeight="251657216" behindDoc="0" locked="0" layoutInCell="1" allowOverlap="1" wp14:anchorId="24166037" wp14:editId="4597F159">
            <wp:simplePos x="0" y="0"/>
            <wp:positionH relativeFrom="margin">
              <wp:posOffset>4796462</wp:posOffset>
            </wp:positionH>
            <wp:positionV relativeFrom="margin">
              <wp:posOffset>8356600</wp:posOffset>
            </wp:positionV>
            <wp:extent cx="1663700" cy="526415"/>
            <wp:effectExtent l="0" t="0" r="0" b="0"/>
            <wp:wrapSquare wrapText="bothSides"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0E5">
        <w:rPr>
          <w:lang w:val="it-IT"/>
        </w:rPr>
        <w:t>Version</w:t>
      </w:r>
      <w:r w:rsidR="004D2523" w:rsidRPr="000A70E5">
        <w:rPr>
          <w:lang w:val="it-IT"/>
        </w:rPr>
        <w:t>e</w:t>
      </w:r>
      <w:r w:rsidRPr="000A70E5">
        <w:rPr>
          <w:lang w:val="it-IT"/>
        </w:rPr>
        <w:t xml:space="preserve"> 1</w:t>
      </w:r>
      <w:r w:rsidR="004D2523" w:rsidRPr="000A70E5">
        <w:rPr>
          <w:lang w:val="it-IT"/>
        </w:rPr>
        <w:t>/</w:t>
      </w:r>
      <w:r w:rsidRPr="000A70E5">
        <w:rPr>
          <w:lang w:val="it-IT"/>
        </w:rPr>
        <w:t>2020</w:t>
      </w:r>
    </w:p>
    <w:p w14:paraId="386F506E" w14:textId="77777777" w:rsidR="009E799F" w:rsidRPr="000A70E5" w:rsidRDefault="009E799F" w:rsidP="009E799F">
      <w:pPr>
        <w:rPr>
          <w:lang w:val="it-IT"/>
        </w:rPr>
      </w:pPr>
    </w:p>
    <w:p w14:paraId="216D6CD8" w14:textId="7F0D7A69" w:rsidR="009E799F" w:rsidRPr="000A70E5" w:rsidRDefault="004D2523" w:rsidP="009E799F">
      <w:pPr>
        <w:rPr>
          <w:b/>
          <w:bCs/>
          <w:lang w:val="it-IT"/>
        </w:rPr>
      </w:pPr>
      <w:r w:rsidRPr="000A70E5">
        <w:rPr>
          <w:color w:val="000000" w:themeColor="text1"/>
          <w:lang w:val="it-IT"/>
        </w:rPr>
        <w:t>Su mandato dell’Ufficio federale dell’ambiente (UFAM)</w:t>
      </w:r>
      <w:r w:rsidR="009E799F" w:rsidRPr="000A70E5">
        <w:rPr>
          <w:lang w:val="it-IT"/>
        </w:rPr>
        <w:br w:type="page"/>
      </w:r>
    </w:p>
    <w:bookmarkStart w:id="3" w:name="_Toc3216080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122372"/>
          <w:sz w:val="24"/>
          <w:szCs w:val="24"/>
          <w:lang w:val="it-IT" w:eastAsia="en-US"/>
        </w:rPr>
        <w:id w:val="-122851399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7DF56EFC" w14:textId="3CA719D1" w:rsidR="009E799F" w:rsidRPr="000A70E5" w:rsidRDefault="004D2523" w:rsidP="009E799F">
          <w:pPr>
            <w:pStyle w:val="Inhaltsverzeichnisberschrift"/>
            <w:rPr>
              <w:color w:val="122372"/>
              <w:lang w:val="it-IT"/>
            </w:rPr>
          </w:pPr>
          <w:r w:rsidRPr="000A70E5">
            <w:rPr>
              <w:color w:val="122372"/>
              <w:lang w:val="it-IT"/>
            </w:rPr>
            <w:t>Indice</w:t>
          </w:r>
        </w:p>
        <w:p w14:paraId="7F1D2093" w14:textId="437F99FC" w:rsidR="00E14E2F" w:rsidRDefault="009E799F">
          <w:pPr>
            <w:pStyle w:val="Verzeichnis1"/>
            <w:tabs>
              <w:tab w:val="left" w:pos="480"/>
              <w:tab w:val="right" w:leader="dot" w:pos="91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fr-FR"/>
            </w:rPr>
          </w:pPr>
          <w:r w:rsidRPr="000A70E5">
            <w:rPr>
              <w:b w:val="0"/>
              <w:bCs w:val="0"/>
              <w:lang w:val="it-IT"/>
            </w:rPr>
            <w:fldChar w:fldCharType="begin"/>
          </w:r>
          <w:r w:rsidRPr="000A70E5">
            <w:rPr>
              <w:lang w:val="it-IT"/>
            </w:rPr>
            <w:instrText>TOC \o "1-3" \h \z \u</w:instrText>
          </w:r>
          <w:r w:rsidRPr="000A70E5">
            <w:rPr>
              <w:b w:val="0"/>
              <w:bCs w:val="0"/>
              <w:lang w:val="it-IT"/>
            </w:rPr>
            <w:fldChar w:fldCharType="separate"/>
          </w:r>
          <w:hyperlink w:anchor="_Toc56153284" w:history="1">
            <w:r w:rsidR="00E14E2F" w:rsidRPr="00EF67EB">
              <w:rPr>
                <w:rStyle w:val="Hyperlink"/>
                <w:noProof/>
                <w:lang w:val="it-IT"/>
              </w:rPr>
              <w:t>1</w:t>
            </w:r>
            <w:r w:rsidR="00E14E2F">
              <w:rPr>
                <w:rFonts w:eastAsiaTheme="minorEastAsia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Preambolo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_Toc56153284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3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1B779360" w14:textId="0ED8B4C6" w:rsidR="00E14E2F" w:rsidRDefault="00E8158A">
          <w:pPr>
            <w:pStyle w:val="Verzeichnis2"/>
            <w:tabs>
              <w:tab w:val="left" w:pos="960"/>
              <w:tab w:val="right" w:leader="dot" w:pos="91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56153285" w:history="1">
            <w:r w:rsidR="00E14E2F" w:rsidRPr="00EF67EB">
              <w:rPr>
                <w:rStyle w:val="Hyperlink"/>
                <w:noProof/>
                <w:lang w:val="it-IT"/>
              </w:rPr>
              <w:t>1.1</w:t>
            </w:r>
            <w:r w:rsidR="00E14E2F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Quadro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_Toc56153285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3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555D99F9" w14:textId="2D346D8C" w:rsidR="00E14E2F" w:rsidRDefault="00E8158A">
          <w:pPr>
            <w:pStyle w:val="Verzeichnis2"/>
            <w:tabs>
              <w:tab w:val="left" w:pos="960"/>
              <w:tab w:val="right" w:leader="dot" w:pos="91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56153286" w:history="1">
            <w:r w:rsidR="00E14E2F" w:rsidRPr="00EF67EB">
              <w:rPr>
                <w:rStyle w:val="Hyperlink"/>
                <w:noProof/>
                <w:lang w:val="it-IT"/>
              </w:rPr>
              <w:t>1.2</w:t>
            </w:r>
            <w:r w:rsidR="00E14E2F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Introduzione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_Toc56153286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3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02E8C5F8" w14:textId="093B951A" w:rsidR="00E14E2F" w:rsidRDefault="00E8158A">
          <w:pPr>
            <w:pStyle w:val="Verzeichnis1"/>
            <w:tabs>
              <w:tab w:val="left" w:pos="480"/>
              <w:tab w:val="right" w:leader="dot" w:pos="91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fr-FR"/>
            </w:rPr>
          </w:pPr>
          <w:hyperlink w:anchor="_Toc56153287" w:history="1">
            <w:r w:rsidR="00E14E2F" w:rsidRPr="00EF67EB">
              <w:rPr>
                <w:rStyle w:val="Hyperlink"/>
                <w:noProof/>
                <w:lang w:val="it-IT"/>
              </w:rPr>
              <w:t>2</w:t>
            </w:r>
            <w:r w:rsidR="00E14E2F">
              <w:rPr>
                <w:rFonts w:eastAsiaTheme="minorEastAsia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I 14 principi per una ristorazione sostenibile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_Toc56153287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4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36FF6CC6" w14:textId="0AB99EF1" w:rsidR="00E14E2F" w:rsidRDefault="00E8158A">
          <w:pPr>
            <w:pStyle w:val="Verzeichnis2"/>
            <w:tabs>
              <w:tab w:val="left" w:pos="960"/>
              <w:tab w:val="right" w:leader="dot" w:pos="91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56153288" w:history="1">
            <w:r w:rsidR="00E14E2F" w:rsidRPr="00EF67EB">
              <w:rPr>
                <w:rStyle w:val="Hyperlink"/>
                <w:noProof/>
                <w:lang w:val="it-IT"/>
              </w:rPr>
              <w:t>2.1</w:t>
            </w:r>
            <w:r w:rsidR="00E14E2F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Variare le fonti di proteine e ridurre i prodotti di origine animale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_Toc56153288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4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7FFCABD0" w14:textId="7B7A9681" w:rsidR="00E14E2F" w:rsidRDefault="00E8158A">
          <w:pPr>
            <w:pStyle w:val="Verzeichnis2"/>
            <w:tabs>
              <w:tab w:val="left" w:pos="960"/>
              <w:tab w:val="right" w:leader="dot" w:pos="91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56153289" w:history="1">
            <w:r w:rsidR="00E14E2F" w:rsidRPr="00EF67EB">
              <w:rPr>
                <w:rStyle w:val="Hyperlink"/>
                <w:noProof/>
                <w:lang w:val="it-IT"/>
              </w:rPr>
              <w:t>2.2</w:t>
            </w:r>
            <w:r w:rsidR="00E14E2F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Evitare lo spreco alimentare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_Toc56153289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4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1B585123" w14:textId="709533E4" w:rsidR="00E14E2F" w:rsidRDefault="00E8158A">
          <w:pPr>
            <w:pStyle w:val="Verzeichnis2"/>
            <w:tabs>
              <w:tab w:val="left" w:pos="960"/>
              <w:tab w:val="right" w:leader="dot" w:pos="91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56153290" w:history="1">
            <w:r w:rsidR="00E14E2F" w:rsidRPr="00EF67EB">
              <w:rPr>
                <w:rStyle w:val="Hyperlink"/>
                <w:noProof/>
                <w:lang w:val="it-IT"/>
              </w:rPr>
              <w:t>2.3</w:t>
            </w:r>
            <w:r w:rsidR="00E14E2F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Preferire i prodotti provenienti da produzioni sostenibili e dal commercio equo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_Toc56153290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4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262D67E2" w14:textId="4DC0A459" w:rsidR="00E14E2F" w:rsidRDefault="00E8158A">
          <w:pPr>
            <w:pStyle w:val="Verzeichnis2"/>
            <w:tabs>
              <w:tab w:val="left" w:pos="960"/>
              <w:tab w:val="right" w:leader="dot" w:pos="91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56153291" w:history="1">
            <w:r w:rsidR="00E14E2F" w:rsidRPr="00EF67EB">
              <w:rPr>
                <w:rStyle w:val="Hyperlink"/>
                <w:noProof/>
                <w:lang w:val="it-IT"/>
              </w:rPr>
              <w:t>2.4</w:t>
            </w:r>
            <w:r w:rsidR="00E14E2F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Bandire le specie ittiche a rischio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_Toc56153291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5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36F71D79" w14:textId="57F21BD5" w:rsidR="00E14E2F" w:rsidRDefault="00E8158A">
          <w:pPr>
            <w:pStyle w:val="Verzeichnis2"/>
            <w:tabs>
              <w:tab w:val="left" w:pos="960"/>
              <w:tab w:val="right" w:leader="dot" w:pos="91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56153292" w:history="1">
            <w:r w:rsidR="00E14E2F" w:rsidRPr="00EF67EB">
              <w:rPr>
                <w:rStyle w:val="Hyperlink"/>
                <w:noProof/>
                <w:lang w:val="it-IT"/>
              </w:rPr>
              <w:t>2.5</w:t>
            </w:r>
            <w:r w:rsidR="00E14E2F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Favorire i prodotti di stagione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_Toc56153292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5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413272AA" w14:textId="0039F254" w:rsidR="00E14E2F" w:rsidRDefault="00E8158A">
          <w:pPr>
            <w:pStyle w:val="Verzeichnis2"/>
            <w:tabs>
              <w:tab w:val="left" w:pos="960"/>
              <w:tab w:val="right" w:leader="dot" w:pos="91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56153293" w:history="1">
            <w:r w:rsidR="00E14E2F" w:rsidRPr="00EF67EB">
              <w:rPr>
                <w:rStyle w:val="Hyperlink"/>
                <w:noProof/>
                <w:lang w:val="it-IT"/>
              </w:rPr>
              <w:t>2.6</w:t>
            </w:r>
            <w:r w:rsidR="00E14E2F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Favorire i prodotti locali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_Toc56153293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6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4765B714" w14:textId="2312E070" w:rsidR="00E14E2F" w:rsidRDefault="00E8158A">
          <w:pPr>
            <w:pStyle w:val="Verzeichnis2"/>
            <w:tabs>
              <w:tab w:val="left" w:pos="960"/>
              <w:tab w:val="right" w:leader="dot" w:pos="91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56153294" w:history="1">
            <w:r w:rsidR="00E14E2F" w:rsidRPr="00EF67EB">
              <w:rPr>
                <w:rStyle w:val="Hyperlink"/>
                <w:noProof/>
                <w:lang w:val="it-IT"/>
              </w:rPr>
              <w:t>2.7</w:t>
            </w:r>
            <w:r w:rsidR="00E14E2F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Ridurre gli imballaggi delle derrate alimentari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_Toc56153294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6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242D5382" w14:textId="2409FD4B" w:rsidR="00E14E2F" w:rsidRDefault="00E8158A">
          <w:pPr>
            <w:pStyle w:val="Verzeichnis2"/>
            <w:tabs>
              <w:tab w:val="left" w:pos="960"/>
              <w:tab w:val="right" w:leader="dot" w:pos="91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56153295" w:history="1">
            <w:r w:rsidR="00E14E2F" w:rsidRPr="00EF67EB">
              <w:rPr>
                <w:rStyle w:val="Hyperlink"/>
                <w:noProof/>
                <w:lang w:val="it-IT"/>
              </w:rPr>
              <w:t>2.8</w:t>
            </w:r>
            <w:r w:rsidR="00E14E2F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Rispettare l’equilibrio nutrizionale dei pasti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_Toc56153295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6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79E96283" w14:textId="6F30F92A" w:rsidR="00E14E2F" w:rsidRDefault="00E8158A">
          <w:pPr>
            <w:pStyle w:val="Verzeichnis2"/>
            <w:tabs>
              <w:tab w:val="left" w:pos="960"/>
              <w:tab w:val="right" w:leader="dot" w:pos="91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56153296" w:history="1">
            <w:r w:rsidR="00E14E2F" w:rsidRPr="00EF67EB">
              <w:rPr>
                <w:rStyle w:val="Hyperlink"/>
                <w:noProof/>
                <w:lang w:val="it-IT"/>
              </w:rPr>
              <w:t>2.9</w:t>
            </w:r>
            <w:r w:rsidR="00E14E2F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Informare i consumatori in merito agli allergeni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_Toc56153296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7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097535F4" w14:textId="4049A62D" w:rsidR="00E14E2F" w:rsidRDefault="00E8158A">
          <w:pPr>
            <w:pStyle w:val="Verzeichnis2"/>
            <w:tabs>
              <w:tab w:val="left" w:pos="960"/>
              <w:tab w:val="right" w:leader="dot" w:pos="91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56153297" w:history="1">
            <w:r w:rsidR="00E14E2F" w:rsidRPr="00EF67EB">
              <w:rPr>
                <w:rStyle w:val="Hyperlink"/>
                <w:noProof/>
                <w:lang w:val="it-IT"/>
              </w:rPr>
              <w:t>2.10</w:t>
            </w:r>
            <w:r w:rsidR="00E14E2F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Prevedere un monitoraggio duraturo della sostenibilità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_Toc56153297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7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70A37694" w14:textId="43B81DF6" w:rsidR="00E14E2F" w:rsidRDefault="00E8158A">
          <w:pPr>
            <w:pStyle w:val="Verzeichnis2"/>
            <w:tabs>
              <w:tab w:val="left" w:pos="960"/>
              <w:tab w:val="right" w:leader="dot" w:pos="91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56153298" w:history="1">
            <w:r w:rsidR="00E14E2F" w:rsidRPr="00EF67EB">
              <w:rPr>
                <w:rStyle w:val="Hyperlink"/>
                <w:noProof/>
                <w:lang w:val="it-IT"/>
              </w:rPr>
              <w:t>2.11</w:t>
            </w:r>
            <w:r w:rsidR="00E14E2F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Ridurre il consumo di energia in cucina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_Toc56153298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8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4A08FAA9" w14:textId="2D861871" w:rsidR="00E14E2F" w:rsidRDefault="00E8158A">
          <w:pPr>
            <w:pStyle w:val="Verzeichnis2"/>
            <w:tabs>
              <w:tab w:val="left" w:pos="960"/>
              <w:tab w:val="right" w:leader="dot" w:pos="91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56153299" w:history="1">
            <w:r w:rsidR="00E14E2F" w:rsidRPr="00EF67EB">
              <w:rPr>
                <w:rStyle w:val="Hyperlink"/>
                <w:noProof/>
                <w:lang w:val="it-IT"/>
              </w:rPr>
              <w:t>2.12</w:t>
            </w:r>
            <w:r w:rsidR="00E14E2F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Preferire i prodotti di pulizia ecologici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_Toc56153299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8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5584F8A4" w14:textId="2E1EFB8E" w:rsidR="00E14E2F" w:rsidRDefault="00E8158A">
          <w:pPr>
            <w:pStyle w:val="Verzeichnis2"/>
            <w:tabs>
              <w:tab w:val="left" w:pos="960"/>
              <w:tab w:val="right" w:leader="dot" w:pos="91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56153300" w:history="1">
            <w:r w:rsidR="00E14E2F" w:rsidRPr="00EF67EB">
              <w:rPr>
                <w:rStyle w:val="Hyperlink"/>
                <w:noProof/>
                <w:lang w:val="it-IT"/>
              </w:rPr>
              <w:t>2.13</w:t>
            </w:r>
            <w:r w:rsidR="00E14E2F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Evitare tutti i contenitori monoso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_Toc56153300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9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69437DD9" w14:textId="43E24CC8" w:rsidR="00E14E2F" w:rsidRDefault="00E8158A">
          <w:pPr>
            <w:pStyle w:val="Verzeichnis2"/>
            <w:tabs>
              <w:tab w:val="left" w:pos="960"/>
              <w:tab w:val="right" w:leader="dot" w:pos="91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fr-FR"/>
            </w:rPr>
          </w:pPr>
          <w:hyperlink w:anchor="_Toc56153301" w:history="1">
            <w:r w:rsidR="00E14E2F" w:rsidRPr="00EF67EB">
              <w:rPr>
                <w:rStyle w:val="Hyperlink"/>
                <w:noProof/>
                <w:lang w:val="it-IT"/>
              </w:rPr>
              <w:t>2.14</w:t>
            </w:r>
            <w:r w:rsidR="00E14E2F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fr-FR"/>
              </w:rPr>
              <w:tab/>
            </w:r>
            <w:r w:rsidR="00E14E2F" w:rsidRPr="00EF67EB">
              <w:rPr>
                <w:rStyle w:val="Hyperlink"/>
                <w:noProof/>
                <w:lang w:val="it-IT"/>
              </w:rPr>
              <w:t>Favorire il trasporto ecologico dei pasti dalla cucina di produzione al luogo di consumo</w:t>
            </w:r>
            <w:r w:rsidR="00E14E2F">
              <w:rPr>
                <w:noProof/>
                <w:webHidden/>
              </w:rPr>
              <w:tab/>
            </w:r>
            <w:r w:rsidR="00E14E2F">
              <w:rPr>
                <w:noProof/>
                <w:webHidden/>
              </w:rPr>
              <w:fldChar w:fldCharType="begin"/>
            </w:r>
            <w:r w:rsidR="00E14E2F">
              <w:rPr>
                <w:noProof/>
                <w:webHidden/>
              </w:rPr>
              <w:instrText xml:space="preserve"> PAGEREF _Toc56153301 \h </w:instrText>
            </w:r>
            <w:r w:rsidR="00E14E2F">
              <w:rPr>
                <w:noProof/>
                <w:webHidden/>
              </w:rPr>
            </w:r>
            <w:r w:rsidR="00E14E2F">
              <w:rPr>
                <w:noProof/>
                <w:webHidden/>
              </w:rPr>
              <w:fldChar w:fldCharType="separate"/>
            </w:r>
            <w:r w:rsidR="00E14E2F">
              <w:rPr>
                <w:noProof/>
                <w:webHidden/>
              </w:rPr>
              <w:t>9</w:t>
            </w:r>
            <w:r w:rsidR="00E14E2F">
              <w:rPr>
                <w:noProof/>
                <w:webHidden/>
              </w:rPr>
              <w:fldChar w:fldCharType="end"/>
            </w:r>
          </w:hyperlink>
        </w:p>
        <w:p w14:paraId="3618CEE2" w14:textId="5D3FD89A" w:rsidR="009E799F" w:rsidRPr="000A70E5" w:rsidRDefault="009E799F" w:rsidP="009E799F">
          <w:pPr>
            <w:rPr>
              <w:lang w:val="it-IT"/>
            </w:rPr>
          </w:pPr>
          <w:r w:rsidRPr="000A70E5">
            <w:rPr>
              <w:b/>
              <w:bCs/>
              <w:noProof/>
              <w:lang w:val="it-IT"/>
            </w:rPr>
            <w:fldChar w:fldCharType="end"/>
          </w:r>
        </w:p>
      </w:sdtContent>
    </w:sdt>
    <w:p w14:paraId="70C58C70" w14:textId="77777777" w:rsidR="009E799F" w:rsidRPr="000A70E5" w:rsidRDefault="009E799F" w:rsidP="009E799F">
      <w:pPr>
        <w:jc w:val="left"/>
        <w:rPr>
          <w:rFonts w:asciiTheme="majorHAnsi" w:eastAsiaTheme="majorEastAsia" w:hAnsiTheme="majorHAnsi" w:cstheme="majorBidi"/>
          <w:color w:val="122372"/>
          <w:sz w:val="32"/>
          <w:szCs w:val="32"/>
          <w:lang w:val="it-IT"/>
        </w:rPr>
      </w:pPr>
      <w:r w:rsidRPr="000A70E5">
        <w:rPr>
          <w:lang w:val="it-IT"/>
        </w:rPr>
        <w:br w:type="page"/>
      </w:r>
    </w:p>
    <w:p w14:paraId="65A9AACF" w14:textId="78ED8C7C" w:rsidR="009E799F" w:rsidRPr="000A70E5" w:rsidRDefault="00056183" w:rsidP="009E799F">
      <w:pPr>
        <w:pStyle w:val="berschrift1"/>
        <w:rPr>
          <w:lang w:val="it-IT"/>
        </w:rPr>
      </w:pPr>
      <w:bookmarkStart w:id="4" w:name="_Toc56153284"/>
      <w:bookmarkEnd w:id="3"/>
      <w:r w:rsidRPr="000A70E5">
        <w:rPr>
          <w:lang w:val="it-IT"/>
        </w:rPr>
        <w:lastRenderedPageBreak/>
        <w:t>Preambolo</w:t>
      </w:r>
      <w:bookmarkEnd w:id="4"/>
    </w:p>
    <w:p w14:paraId="390AA66F" w14:textId="24CB819D" w:rsidR="009E799F" w:rsidRPr="000A70E5" w:rsidRDefault="00056183" w:rsidP="009E799F">
      <w:pPr>
        <w:pStyle w:val="berschrift2"/>
        <w:rPr>
          <w:lang w:val="it-IT"/>
        </w:rPr>
      </w:pPr>
      <w:bookmarkStart w:id="5" w:name="_Toc56153285"/>
      <w:r w:rsidRPr="000A70E5">
        <w:rPr>
          <w:lang w:val="it-IT"/>
        </w:rPr>
        <w:t>Quadro</w:t>
      </w:r>
      <w:bookmarkEnd w:id="5"/>
      <w:r w:rsidRPr="000A70E5">
        <w:rPr>
          <w:lang w:val="it-IT"/>
        </w:rPr>
        <w:t xml:space="preserve"> </w:t>
      </w:r>
    </w:p>
    <w:p w14:paraId="3D53FECE" w14:textId="7CE2FACD" w:rsidR="00056183" w:rsidRPr="000A70E5" w:rsidRDefault="00056183" w:rsidP="009E799F">
      <w:pPr>
        <w:rPr>
          <w:lang w:val="it-IT"/>
        </w:rPr>
      </w:pPr>
      <w:r w:rsidRPr="000A70E5">
        <w:rPr>
          <w:lang w:val="it-IT"/>
        </w:rPr>
        <w:t xml:space="preserve">Questa carta si </w:t>
      </w:r>
      <w:r w:rsidR="00144941" w:rsidRPr="000A70E5">
        <w:rPr>
          <w:lang w:val="it-IT"/>
        </w:rPr>
        <w:t>colloca</w:t>
      </w:r>
      <w:r w:rsidRPr="000A70E5">
        <w:rPr>
          <w:lang w:val="it-IT"/>
        </w:rPr>
        <w:t xml:space="preserve"> nell'ambito delle raccomandazioni per degli acquisti pubblici sostenibili, emesse dall'Uffico federale dell'ambiente (UFAM). </w:t>
      </w:r>
      <w:r w:rsidR="00AC3FBD" w:rsidRPr="000A70E5">
        <w:rPr>
          <w:lang w:val="it-IT"/>
        </w:rPr>
        <w:t>E</w:t>
      </w:r>
      <w:r w:rsidR="00202A6B" w:rsidRPr="000A70E5">
        <w:rPr>
          <w:lang w:val="it-IT"/>
        </w:rPr>
        <w:t>ssa</w:t>
      </w:r>
      <w:r w:rsidRPr="000A70E5">
        <w:rPr>
          <w:lang w:val="it-IT"/>
        </w:rPr>
        <w:t xml:space="preserve"> </w:t>
      </w:r>
      <w:r w:rsidR="00144941" w:rsidRPr="000A70E5">
        <w:rPr>
          <w:lang w:val="it-IT"/>
        </w:rPr>
        <w:t xml:space="preserve">si </w:t>
      </w:r>
      <w:r w:rsidR="008878B6" w:rsidRPr="000A70E5">
        <w:rPr>
          <w:lang w:val="it-IT"/>
        </w:rPr>
        <w:t>rivolge a</w:t>
      </w:r>
      <w:r w:rsidRPr="000A70E5">
        <w:rPr>
          <w:lang w:val="it-IT"/>
        </w:rPr>
        <w:t xml:space="preserve"> tutti gli operatori, sia interni (direzione d'azienda, personale di cucina e di servizio) che esterni (consumatori, fornitori di prodotti alimen</w:t>
      </w:r>
      <w:r w:rsidR="00B72D95" w:rsidRPr="000A70E5">
        <w:rPr>
          <w:lang w:val="it-IT"/>
        </w:rPr>
        <w:t>tari, di attrezzature di cucina di</w:t>
      </w:r>
      <w:r w:rsidRPr="000A70E5">
        <w:rPr>
          <w:lang w:val="it-IT"/>
        </w:rPr>
        <w:t xml:space="preserve"> di prodotti di pulizia e di ristorazione collettiva.</w:t>
      </w:r>
    </w:p>
    <w:p w14:paraId="3593FE70" w14:textId="18DD4A18" w:rsidR="00056183" w:rsidRPr="000A70E5" w:rsidRDefault="00056183" w:rsidP="009E799F">
      <w:pPr>
        <w:rPr>
          <w:lang w:val="it-IT"/>
        </w:rPr>
      </w:pPr>
    </w:p>
    <w:p w14:paraId="4AB31F8B" w14:textId="2ABC9158" w:rsidR="00B72D95" w:rsidRPr="000A70E5" w:rsidRDefault="00144941" w:rsidP="009E799F">
      <w:pPr>
        <w:rPr>
          <w:lang w:val="it-IT"/>
        </w:rPr>
      </w:pPr>
      <w:r w:rsidRPr="000A70E5">
        <w:rPr>
          <w:lang w:val="it-IT"/>
        </w:rPr>
        <w:t xml:space="preserve">Lo scopo </w:t>
      </w:r>
      <w:r w:rsidR="00852035" w:rsidRPr="000A70E5">
        <w:rPr>
          <w:lang w:val="it-IT"/>
        </w:rPr>
        <w:t>è</w:t>
      </w:r>
      <w:r w:rsidR="00B72D95" w:rsidRPr="000A70E5">
        <w:rPr>
          <w:lang w:val="it-IT"/>
        </w:rPr>
        <w:t xml:space="preserve"> di aiutare gli operatori </w:t>
      </w:r>
      <w:r w:rsidR="00852035" w:rsidRPr="000A70E5">
        <w:rPr>
          <w:lang w:val="it-IT"/>
        </w:rPr>
        <w:t>a</w:t>
      </w:r>
      <w:r w:rsidR="00B72D95" w:rsidRPr="000A70E5">
        <w:rPr>
          <w:lang w:val="it-IT"/>
        </w:rPr>
        <w:t xml:space="preserve"> capire </w:t>
      </w:r>
      <w:r w:rsidR="00202A6B" w:rsidRPr="000A70E5">
        <w:rPr>
          <w:lang w:val="it-IT"/>
        </w:rPr>
        <w:t>le sfide</w:t>
      </w:r>
      <w:r w:rsidR="00B72D95" w:rsidRPr="000A70E5">
        <w:rPr>
          <w:lang w:val="it-IT"/>
        </w:rPr>
        <w:t xml:space="preserve"> ecologic</w:t>
      </w:r>
      <w:r w:rsidR="00202A6B" w:rsidRPr="000A70E5">
        <w:rPr>
          <w:lang w:val="it-IT"/>
        </w:rPr>
        <w:t>he</w:t>
      </w:r>
      <w:r w:rsidR="00B72D95" w:rsidRPr="000A70E5">
        <w:rPr>
          <w:lang w:val="it-IT"/>
        </w:rPr>
        <w:t xml:space="preserve">, </w:t>
      </w:r>
      <w:r w:rsidR="00852035" w:rsidRPr="000A70E5">
        <w:rPr>
          <w:lang w:val="it-IT"/>
        </w:rPr>
        <w:t>che</w:t>
      </w:r>
      <w:r w:rsidR="00B72D95" w:rsidRPr="000A70E5">
        <w:rPr>
          <w:lang w:val="it-IT"/>
        </w:rPr>
        <w:t xml:space="preserve"> il nostro ristorante </w:t>
      </w:r>
      <w:r w:rsidR="00852035" w:rsidRPr="000A70E5">
        <w:rPr>
          <w:lang w:val="it-IT"/>
        </w:rPr>
        <w:t>ritiene</w:t>
      </w:r>
      <w:r w:rsidR="00B72D95" w:rsidRPr="000A70E5">
        <w:rPr>
          <w:lang w:val="it-IT"/>
        </w:rPr>
        <w:t xml:space="preserve"> </w:t>
      </w:r>
      <w:r w:rsidR="00852035" w:rsidRPr="000A70E5">
        <w:rPr>
          <w:lang w:val="it-IT"/>
        </w:rPr>
        <w:t>fondamentali</w:t>
      </w:r>
      <w:r w:rsidR="00B72D95" w:rsidRPr="000A70E5">
        <w:rPr>
          <w:lang w:val="it-IT"/>
        </w:rPr>
        <w:t>, cosi come le implicazioni che questi obbiettivi conportano, sia sul no</w:t>
      </w:r>
      <w:r w:rsidR="008B5A7B" w:rsidRPr="000A70E5">
        <w:rPr>
          <w:lang w:val="it-IT"/>
        </w:rPr>
        <w:t>stro modo</w:t>
      </w:r>
      <w:r w:rsidR="00B72D95" w:rsidRPr="000A70E5">
        <w:rPr>
          <w:lang w:val="it-IT"/>
        </w:rPr>
        <w:t xml:space="preserve"> di lavorare, che sulle scelte dei prodotti ali</w:t>
      </w:r>
      <w:r w:rsidR="008B5A7B" w:rsidRPr="000A70E5">
        <w:rPr>
          <w:lang w:val="it-IT"/>
        </w:rPr>
        <w:t>mentari</w:t>
      </w:r>
      <w:r w:rsidR="00B72D95" w:rsidRPr="000A70E5">
        <w:rPr>
          <w:lang w:val="it-IT"/>
        </w:rPr>
        <w:t xml:space="preserve"> da utilizzare, sino ai piatti proposti e ai prezzi.</w:t>
      </w:r>
    </w:p>
    <w:p w14:paraId="619D74DA" w14:textId="77777777" w:rsidR="00B72D95" w:rsidRPr="000A70E5" w:rsidRDefault="00B72D95" w:rsidP="009E799F">
      <w:pPr>
        <w:rPr>
          <w:lang w:val="it-IT"/>
        </w:rPr>
      </w:pPr>
    </w:p>
    <w:p w14:paraId="085E927C" w14:textId="35133603" w:rsidR="00B72D95" w:rsidRPr="000A70E5" w:rsidRDefault="00B72D95" w:rsidP="009E799F">
      <w:pPr>
        <w:rPr>
          <w:lang w:val="it-IT"/>
        </w:rPr>
      </w:pPr>
      <w:r w:rsidRPr="000A70E5">
        <w:rPr>
          <w:lang w:val="it-IT"/>
        </w:rPr>
        <w:t xml:space="preserve">Questa carta ha anche come scopo di </w:t>
      </w:r>
      <w:r w:rsidR="00144941" w:rsidRPr="000A70E5">
        <w:rPr>
          <w:lang w:val="it-IT"/>
        </w:rPr>
        <w:t>evindenziare gli orientamenti</w:t>
      </w:r>
      <w:r w:rsidRPr="000A70E5">
        <w:rPr>
          <w:lang w:val="it-IT"/>
        </w:rPr>
        <w:t xml:space="preserve"> vo</w:t>
      </w:r>
      <w:r w:rsidR="00AD1B44" w:rsidRPr="000A70E5">
        <w:rPr>
          <w:lang w:val="it-IT"/>
        </w:rPr>
        <w:t>lut</w:t>
      </w:r>
      <w:r w:rsidR="00144941" w:rsidRPr="000A70E5">
        <w:rPr>
          <w:lang w:val="it-IT"/>
        </w:rPr>
        <w:t>i</w:t>
      </w:r>
      <w:r w:rsidR="00AD1B44" w:rsidRPr="000A70E5">
        <w:rPr>
          <w:lang w:val="it-IT"/>
        </w:rPr>
        <w:t xml:space="preserve"> dalla nostra azienda, in materia di ristorazione sostenibile.</w:t>
      </w:r>
    </w:p>
    <w:p w14:paraId="20BCED7F" w14:textId="450F6D0B" w:rsidR="009E799F" w:rsidRPr="000A70E5" w:rsidRDefault="009E799F" w:rsidP="009E799F">
      <w:pPr>
        <w:pStyle w:val="berschrift2"/>
        <w:rPr>
          <w:lang w:val="it-IT"/>
        </w:rPr>
      </w:pPr>
      <w:bookmarkStart w:id="6" w:name="_Toc56153286"/>
      <w:r w:rsidRPr="000A70E5">
        <w:rPr>
          <w:lang w:val="it-IT"/>
        </w:rPr>
        <w:t>I</w:t>
      </w:r>
      <w:r w:rsidR="000A70E5" w:rsidRPr="000A70E5">
        <w:rPr>
          <w:lang w:val="it-IT"/>
        </w:rPr>
        <w:t>ntroduzione</w:t>
      </w:r>
      <w:bookmarkEnd w:id="6"/>
    </w:p>
    <w:p w14:paraId="46D10E97" w14:textId="068FF387" w:rsidR="00AD1B44" w:rsidRPr="000A70E5" w:rsidRDefault="004D2523" w:rsidP="009E799F">
      <w:pPr>
        <w:rPr>
          <w:lang w:val="it-IT"/>
        </w:rPr>
      </w:pPr>
      <w:r w:rsidRPr="000A70E5">
        <w:rPr>
          <w:lang w:val="it-IT"/>
        </w:rPr>
        <w:t>In Svizzera, il 28 % dell’impatto dei consumi sull’ambiente è dovuto all’alimentazione, il 24 % alle abitazioni e il 12 % alle modalità di trasporto</w:t>
      </w:r>
      <w:r w:rsidR="009E799F" w:rsidRPr="000A70E5">
        <w:rPr>
          <w:rStyle w:val="Funotenzeichen"/>
          <w:lang w:val="it-IT"/>
        </w:rPr>
        <w:footnoteReference w:id="1"/>
      </w:r>
      <w:r w:rsidR="009E799F" w:rsidRPr="000A70E5">
        <w:rPr>
          <w:lang w:val="it-IT"/>
        </w:rPr>
        <w:t xml:space="preserve">. </w:t>
      </w:r>
      <w:r w:rsidR="00AD1B44" w:rsidRPr="000A70E5">
        <w:rPr>
          <w:lang w:val="it-IT"/>
        </w:rPr>
        <w:t xml:space="preserve">I ristoratori e gli attori dell'industria alimentare (produttori, trasformatori, fornitori ecc.) </w:t>
      </w:r>
      <w:r w:rsidR="008B5A7B" w:rsidRPr="000A70E5">
        <w:rPr>
          <w:lang w:val="it-IT"/>
        </w:rPr>
        <w:t>hann</w:t>
      </w:r>
      <w:r w:rsidR="00AD1B44" w:rsidRPr="000A70E5">
        <w:rPr>
          <w:lang w:val="it-IT"/>
        </w:rPr>
        <w:t>o dunque un ruolo cruciale sul futuro del nostro pianeta.</w:t>
      </w:r>
    </w:p>
    <w:p w14:paraId="0D99BA48" w14:textId="0D8BDC40" w:rsidR="00AD1B44" w:rsidRPr="000A70E5" w:rsidRDefault="00AD1B44" w:rsidP="009E799F">
      <w:pPr>
        <w:rPr>
          <w:lang w:val="it-IT"/>
        </w:rPr>
      </w:pPr>
    </w:p>
    <w:p w14:paraId="498D2EEF" w14:textId="34342986" w:rsidR="00AD1B44" w:rsidRPr="000A70E5" w:rsidRDefault="00AD1B44" w:rsidP="009E799F">
      <w:pPr>
        <w:rPr>
          <w:lang w:val="it-IT"/>
        </w:rPr>
      </w:pPr>
      <w:r w:rsidRPr="000A70E5">
        <w:rPr>
          <w:lang w:val="it-IT"/>
        </w:rPr>
        <w:t>Le scelte effe</w:t>
      </w:r>
      <w:r w:rsidR="00750B6E" w:rsidRPr="000A70E5">
        <w:rPr>
          <w:lang w:val="it-IT"/>
        </w:rPr>
        <w:t>ttuate quotidianamente dai prof</w:t>
      </w:r>
      <w:r w:rsidRPr="000A70E5">
        <w:rPr>
          <w:lang w:val="it-IT"/>
        </w:rPr>
        <w:t>essionisti della ristorazione, hanno importanti conseguenze su</w:t>
      </w:r>
      <w:r w:rsidR="008B5A7B" w:rsidRPr="000A70E5">
        <w:rPr>
          <w:lang w:val="it-IT"/>
        </w:rPr>
        <w:t>i</w:t>
      </w:r>
      <w:r w:rsidRPr="000A70E5">
        <w:rPr>
          <w:lang w:val="it-IT"/>
        </w:rPr>
        <w:t xml:space="preserve"> diversi aspetti dello sviluppo sostenibile in</w:t>
      </w:r>
      <w:r w:rsidR="00144941" w:rsidRPr="000A70E5">
        <w:rPr>
          <w:lang w:val="it-IT"/>
        </w:rPr>
        <w:t xml:space="preserve"> particolare</w:t>
      </w:r>
      <w:r w:rsidRPr="000A70E5">
        <w:rPr>
          <w:lang w:val="it-IT"/>
        </w:rPr>
        <w:t xml:space="preserve">; </w:t>
      </w:r>
    </w:p>
    <w:p w14:paraId="5CDB477E" w14:textId="2B490B43" w:rsidR="00AD1B44" w:rsidRPr="000A70E5" w:rsidRDefault="00AD1B44" w:rsidP="009E799F">
      <w:pPr>
        <w:rPr>
          <w:lang w:val="it-IT"/>
        </w:rPr>
      </w:pPr>
      <w:r w:rsidRPr="000A70E5">
        <w:rPr>
          <w:lang w:val="it-IT"/>
        </w:rPr>
        <w:t>Le emissioni dei gas a effetto serra, (p.e. CO2), l'impatto sul clima e la biodiversità, l'inquinamento dell'acqua, l'impoverimento dei suoli, i rifiuti, il benessere animale o ancora le condizioni di lavoro, la sicurezza alimentare e la salute.</w:t>
      </w:r>
    </w:p>
    <w:p w14:paraId="307E8D1F" w14:textId="77777777" w:rsidR="009E799F" w:rsidRPr="000A70E5" w:rsidRDefault="009E799F" w:rsidP="009E799F">
      <w:pPr>
        <w:rPr>
          <w:lang w:val="it-IT"/>
        </w:rPr>
      </w:pPr>
    </w:p>
    <w:p w14:paraId="70B3B4B9" w14:textId="5B7E464D" w:rsidR="00750B6E" w:rsidRPr="000A70E5" w:rsidRDefault="00750B6E" w:rsidP="009E799F">
      <w:pPr>
        <w:rPr>
          <w:lang w:val="it-IT"/>
        </w:rPr>
      </w:pPr>
      <w:r w:rsidRPr="000A70E5">
        <w:rPr>
          <w:lang w:val="it-IT"/>
        </w:rPr>
        <w:t>Il volume d</w:t>
      </w:r>
      <w:r w:rsidR="008B5A7B" w:rsidRPr="000A70E5">
        <w:rPr>
          <w:lang w:val="it-IT"/>
        </w:rPr>
        <w:t>ei</w:t>
      </w:r>
      <w:r w:rsidRPr="000A70E5">
        <w:rPr>
          <w:lang w:val="it-IT"/>
        </w:rPr>
        <w:t xml:space="preserve"> pasti serviti </w:t>
      </w:r>
      <w:r w:rsidR="00852035" w:rsidRPr="000A70E5">
        <w:rPr>
          <w:lang w:val="it-IT"/>
        </w:rPr>
        <w:t>ogni</w:t>
      </w:r>
      <w:r w:rsidRPr="000A70E5">
        <w:rPr>
          <w:lang w:val="it-IT"/>
        </w:rPr>
        <w:t xml:space="preserve"> giorno, nella ristorazione, che sia collettiva o commerciale, sono in numero considerevole e quindi conferiscono a questo settore delle responsabilità di fronte ai loro partner, alla loro clientela, ai cittadini e all'ambiente.</w:t>
      </w:r>
    </w:p>
    <w:p w14:paraId="5DF3975E" w14:textId="6E98333E" w:rsidR="00AC3FBD" w:rsidRPr="000A70E5" w:rsidRDefault="00AC3FBD" w:rsidP="009E799F">
      <w:pPr>
        <w:rPr>
          <w:lang w:val="it-IT"/>
        </w:rPr>
      </w:pPr>
      <w:r w:rsidRPr="000A70E5">
        <w:rPr>
          <w:lang w:val="it-IT"/>
        </w:rPr>
        <w:t>Questa responsabilità includono</w:t>
      </w:r>
      <w:r w:rsidR="00B3218F">
        <w:rPr>
          <w:lang w:val="it-IT"/>
        </w:rPr>
        <w:t xml:space="preserve"> </w:t>
      </w:r>
      <w:r w:rsidRPr="000A70E5">
        <w:rPr>
          <w:lang w:val="it-IT"/>
        </w:rPr>
        <w:t>in particolare l'elaborazione di piatti rispettosi</w:t>
      </w:r>
      <w:r w:rsidR="00B3218F">
        <w:rPr>
          <w:lang w:val="it-IT"/>
        </w:rPr>
        <w:t xml:space="preserve"> </w:t>
      </w:r>
      <w:r w:rsidRPr="000A70E5">
        <w:rPr>
          <w:lang w:val="it-IT"/>
        </w:rPr>
        <w:t>dei consumatori e del pianeta.</w:t>
      </w:r>
    </w:p>
    <w:p w14:paraId="3EE8A623" w14:textId="77777777" w:rsidR="00750B6E" w:rsidRPr="000A70E5" w:rsidRDefault="00750B6E" w:rsidP="009E799F">
      <w:pPr>
        <w:rPr>
          <w:lang w:val="it-IT"/>
        </w:rPr>
      </w:pPr>
    </w:p>
    <w:p w14:paraId="5A68BECE" w14:textId="75CFFDCA" w:rsidR="00750B6E" w:rsidRPr="000A70E5" w:rsidRDefault="00750B6E" w:rsidP="009E799F">
      <w:pPr>
        <w:rPr>
          <w:lang w:val="it-IT"/>
        </w:rPr>
      </w:pPr>
      <w:r w:rsidRPr="000A70E5">
        <w:rPr>
          <w:lang w:val="it-IT"/>
        </w:rPr>
        <w:t xml:space="preserve">Questa carta testimonia </w:t>
      </w:r>
      <w:r w:rsidR="00144941" w:rsidRPr="000A70E5">
        <w:rPr>
          <w:lang w:val="it-IT"/>
        </w:rPr>
        <w:t>la</w:t>
      </w:r>
      <w:r w:rsidRPr="000A70E5">
        <w:rPr>
          <w:lang w:val="it-IT"/>
        </w:rPr>
        <w:t xml:space="preserve"> nostra volontà di integrare i principi dello sviluppo sostenibile, in ogni aspetto della professione di ristorazione e di promuoverli nelle relazioni con tutti i nostri partners. Per quanto sia possibile, </w:t>
      </w:r>
      <w:r w:rsidR="005A6126" w:rsidRPr="000A70E5">
        <w:rPr>
          <w:lang w:val="it-IT"/>
        </w:rPr>
        <w:t>e</w:t>
      </w:r>
      <w:r w:rsidR="008B5A7B" w:rsidRPr="000A70E5">
        <w:rPr>
          <w:lang w:val="it-IT"/>
        </w:rPr>
        <w:t>ssa</w:t>
      </w:r>
      <w:r w:rsidR="005A6126" w:rsidRPr="000A70E5">
        <w:rPr>
          <w:lang w:val="it-IT"/>
        </w:rPr>
        <w:t xml:space="preserve"> deve essere rispettata quotidianamente.</w:t>
      </w:r>
    </w:p>
    <w:p w14:paraId="20DC94DE" w14:textId="47FF3288" w:rsidR="00695870" w:rsidRPr="000A70E5" w:rsidRDefault="000A70E5" w:rsidP="00695870">
      <w:pPr>
        <w:pStyle w:val="berschrift1"/>
        <w:rPr>
          <w:lang w:val="it-IT"/>
        </w:rPr>
      </w:pPr>
      <w:bookmarkStart w:id="7" w:name="_Toc56153287"/>
      <w:r w:rsidRPr="000A70E5">
        <w:rPr>
          <w:lang w:val="it-IT"/>
        </w:rPr>
        <w:lastRenderedPageBreak/>
        <w:t>I</w:t>
      </w:r>
      <w:r w:rsidR="009E799F" w:rsidRPr="000A70E5">
        <w:rPr>
          <w:lang w:val="it-IT"/>
        </w:rPr>
        <w:t xml:space="preserve"> 14 </w:t>
      </w:r>
      <w:r w:rsidRPr="000A70E5">
        <w:rPr>
          <w:lang w:val="it-IT"/>
        </w:rPr>
        <w:t>principi per una ristorazione sostenibile</w:t>
      </w:r>
      <w:bookmarkEnd w:id="7"/>
    </w:p>
    <w:p w14:paraId="4283571F" w14:textId="77777777" w:rsidR="004D2523" w:rsidRPr="000A70E5" w:rsidRDefault="004D2523" w:rsidP="004D2523">
      <w:pPr>
        <w:pStyle w:val="berschrift2"/>
        <w:rPr>
          <w:lang w:val="it-IT"/>
        </w:rPr>
      </w:pPr>
      <w:bookmarkStart w:id="8" w:name="_Toc50372674"/>
      <w:bookmarkStart w:id="9" w:name="_Toc54774855"/>
      <w:bookmarkStart w:id="10" w:name="_Toc56153288"/>
      <w:bookmarkEnd w:id="0"/>
      <w:r w:rsidRPr="000A70E5">
        <w:rPr>
          <w:lang w:val="it-IT"/>
        </w:rPr>
        <w:t>Variare le fonti di proteine e ridurre i prodotti di origine animale</w:t>
      </w:r>
      <w:bookmarkEnd w:id="8"/>
      <w:bookmarkEnd w:id="9"/>
      <w:bookmarkEnd w:id="10"/>
    </w:p>
    <w:p w14:paraId="2628DFEF" w14:textId="5CE4C2FC" w:rsidR="004D2523" w:rsidRPr="000A70E5" w:rsidRDefault="004D2523" w:rsidP="004D2523">
      <w:p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Le proteine, in quantità sufficienti e di origine diversa, sono essenziali per mantenere una dieta equilibrata. Tuttavia, il consumo eccessivo di prodotti di origine animale mette a dura prova le risorse naturali, il clima, il benessere degli animali e la salute umana. Il consumo moderato di proteine animali, integrato da un apporto più consistente di proteine vegetali, è la chiave di un’alimentazione sana, etica ed ecologica.</w:t>
      </w:r>
    </w:p>
    <w:p w14:paraId="4F1916A3" w14:textId="7B19BDCA" w:rsidR="005A6126" w:rsidRPr="000A70E5" w:rsidRDefault="005A6126" w:rsidP="004D2523">
      <w:pPr>
        <w:rPr>
          <w:color w:val="000000" w:themeColor="text1"/>
          <w:lang w:val="it-IT"/>
        </w:rPr>
      </w:pPr>
    </w:p>
    <w:p w14:paraId="6DAFFFE3" w14:textId="53D5CDA3" w:rsidR="005A6126" w:rsidRPr="000A70E5" w:rsidRDefault="00144941" w:rsidP="00B31DC3">
      <w:pPr>
        <w:rPr>
          <w:lang w:val="it-IT"/>
        </w:rPr>
      </w:pPr>
      <w:r w:rsidRPr="000A70E5">
        <w:rPr>
          <w:lang w:val="it-IT"/>
        </w:rPr>
        <w:t xml:space="preserve">Per quanto possibile ci </w:t>
      </w:r>
      <w:r w:rsidR="000A70E5" w:rsidRPr="000A70E5">
        <w:rPr>
          <w:lang w:val="it-IT"/>
        </w:rPr>
        <w:t>impegnammo</w:t>
      </w:r>
      <w:r w:rsidRPr="000A70E5">
        <w:rPr>
          <w:lang w:val="it-IT"/>
        </w:rPr>
        <w:t xml:space="preserve"> </w:t>
      </w:r>
      <w:r w:rsidR="000A70E5" w:rsidRPr="000A70E5">
        <w:rPr>
          <w:lang w:val="it-IT"/>
        </w:rPr>
        <w:t>a:</w:t>
      </w:r>
    </w:p>
    <w:p w14:paraId="49EF71FA" w14:textId="77777777" w:rsidR="00B31DC3" w:rsidRPr="000A70E5" w:rsidRDefault="00B31DC3" w:rsidP="00B31DC3">
      <w:pPr>
        <w:rPr>
          <w:sz w:val="10"/>
          <w:szCs w:val="10"/>
          <w:lang w:val="it-IT"/>
        </w:rPr>
      </w:pPr>
    </w:p>
    <w:bookmarkEnd w:id="1"/>
    <w:p w14:paraId="2BE2736E" w14:textId="77777777" w:rsidR="004D2523" w:rsidRPr="000A70E5" w:rsidRDefault="004D2523" w:rsidP="004D2523">
      <w:pPr>
        <w:pStyle w:val="Listenabsatz"/>
        <w:numPr>
          <w:ilvl w:val="0"/>
          <w:numId w:val="2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Alternare proteine animali a proteine vegetali (ad es. legumi).</w:t>
      </w:r>
    </w:p>
    <w:p w14:paraId="29730221" w14:textId="77777777" w:rsidR="004D2523" w:rsidRPr="000A70E5" w:rsidRDefault="004D2523" w:rsidP="004D2523">
      <w:pPr>
        <w:pStyle w:val="Listenabsatz"/>
        <w:numPr>
          <w:ilvl w:val="0"/>
          <w:numId w:val="2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Ridurre il consumo di prodotti di origine animale: proporre la carne al massimo 2–3 volte alla settimana, come raccomandato dalla Società Svizzera di Nutrizione (SSN).</w:t>
      </w:r>
    </w:p>
    <w:p w14:paraId="3C25642F" w14:textId="77777777" w:rsidR="004D2523" w:rsidRPr="000A70E5" w:rsidRDefault="004D2523" w:rsidP="004D2523">
      <w:pPr>
        <w:pStyle w:val="Listenabsatz"/>
        <w:numPr>
          <w:ilvl w:val="0"/>
          <w:numId w:val="2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Non superare 120 grammi di carne per porzione, come raccomandato dalla SSN.</w:t>
      </w:r>
    </w:p>
    <w:p w14:paraId="018141C2" w14:textId="77777777" w:rsidR="004D2523" w:rsidRPr="000A70E5" w:rsidRDefault="004D2523" w:rsidP="004D2523">
      <w:pPr>
        <w:pStyle w:val="Listenabsatz"/>
        <w:numPr>
          <w:ilvl w:val="0"/>
          <w:numId w:val="2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Segnalare in modo chiaro, visibile e attraente i piatti vegetariani e vegani; applicare a questi ultimi un prezzo inferiore ai piatti a base di carne.</w:t>
      </w:r>
    </w:p>
    <w:p w14:paraId="56C46B6B" w14:textId="77777777" w:rsidR="004D2523" w:rsidRPr="000A70E5" w:rsidRDefault="004D2523" w:rsidP="004D2523">
      <w:pPr>
        <w:pStyle w:val="Listenabsatz"/>
        <w:numPr>
          <w:ilvl w:val="0"/>
          <w:numId w:val="2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Formare i cuochi alla cucina vegetariana e sensibilizzare il personale in merito all’impatto sulla salute e sull’ambiente dovuto a un consumo eccessivo di prodotti di origine animale.</w:t>
      </w:r>
    </w:p>
    <w:p w14:paraId="080D9DDF" w14:textId="77777777" w:rsidR="004D2523" w:rsidRPr="000A70E5" w:rsidRDefault="004D2523" w:rsidP="004D2523">
      <w:pPr>
        <w:pStyle w:val="berschrift2"/>
        <w:rPr>
          <w:lang w:val="it-IT"/>
        </w:rPr>
      </w:pPr>
      <w:bookmarkStart w:id="11" w:name="_Toc50372675"/>
      <w:bookmarkStart w:id="12" w:name="_Toc54774856"/>
      <w:bookmarkStart w:id="13" w:name="_Toc56153289"/>
      <w:r w:rsidRPr="000A70E5">
        <w:rPr>
          <w:lang w:val="it-IT"/>
        </w:rPr>
        <w:t>Evitare lo spreco alimentare</w:t>
      </w:r>
      <w:bookmarkEnd w:id="11"/>
      <w:bookmarkEnd w:id="12"/>
      <w:bookmarkEnd w:id="13"/>
    </w:p>
    <w:p w14:paraId="6A515CD6" w14:textId="77777777" w:rsidR="004D2523" w:rsidRPr="000A70E5" w:rsidRDefault="004D2523" w:rsidP="004D2523">
      <w:p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 xml:space="preserve">In Svizzera, il 28 % dell’impatto sull’ambiente è legato all’alimentazione. Ciononostante, una parte consistente degli alimenti prodotti non viene consumata. Quello che comunemente si definisce </w:t>
      </w:r>
      <w:r w:rsidRPr="000A70E5">
        <w:rPr>
          <w:rFonts w:cstheme="minorHAnsi"/>
          <w:color w:val="000000" w:themeColor="text1"/>
          <w:lang w:val="it-IT"/>
        </w:rPr>
        <w:t>«</w:t>
      </w:r>
      <w:r w:rsidRPr="000A70E5">
        <w:rPr>
          <w:color w:val="000000" w:themeColor="text1"/>
          <w:lang w:val="it-IT"/>
        </w:rPr>
        <w:t>spreco alimentare</w:t>
      </w:r>
      <w:r w:rsidRPr="000A70E5">
        <w:rPr>
          <w:rFonts w:cstheme="minorHAnsi"/>
          <w:color w:val="000000" w:themeColor="text1"/>
          <w:lang w:val="it-IT"/>
        </w:rPr>
        <w:t>»</w:t>
      </w:r>
      <w:r w:rsidRPr="000A70E5">
        <w:rPr>
          <w:color w:val="000000" w:themeColor="text1"/>
          <w:lang w:val="it-IT"/>
        </w:rPr>
        <w:t xml:space="preserve"> si manifesta in varie fasi della filiera: nella produzione delle materie prime, nella trasformazione, nella distribuzione o nel consumo. Lo spreco alimentare determina una perdita di risorse preziose (suolo adibito all’agricoltura, acqua, energia, prodotti fitosanitari, fertilizzanti), ma anche di finanze e manodopera. Non da ultimo, è una fonte di inquinamento inutile ed evitabile.</w:t>
      </w:r>
    </w:p>
    <w:p w14:paraId="3294F240" w14:textId="171E479C" w:rsidR="000E188B" w:rsidRPr="000A70E5" w:rsidRDefault="000E188B" w:rsidP="00EC046C">
      <w:pPr>
        <w:rPr>
          <w:lang w:val="it-IT"/>
        </w:rPr>
      </w:pPr>
    </w:p>
    <w:p w14:paraId="53DD0542" w14:textId="52C91BB5" w:rsidR="00F87EC6" w:rsidRPr="000A70E5" w:rsidRDefault="000A70E5" w:rsidP="004D2523">
      <w:pPr>
        <w:rPr>
          <w:lang w:val="it-IT"/>
        </w:rPr>
      </w:pPr>
      <w:r w:rsidRPr="000A70E5">
        <w:rPr>
          <w:lang w:val="it-IT"/>
        </w:rPr>
        <w:t>Per quanto possibile ci impegnammo a:</w:t>
      </w:r>
    </w:p>
    <w:p w14:paraId="3A6ED1ED" w14:textId="4878458B" w:rsidR="00EC046C" w:rsidRPr="000A70E5" w:rsidRDefault="00EC046C" w:rsidP="00EC046C">
      <w:pPr>
        <w:rPr>
          <w:sz w:val="10"/>
          <w:szCs w:val="10"/>
          <w:lang w:val="it-IT"/>
        </w:rPr>
      </w:pPr>
    </w:p>
    <w:p w14:paraId="7BD22704" w14:textId="77777777" w:rsidR="004D2523" w:rsidRPr="000A70E5" w:rsidRDefault="004D2523" w:rsidP="004D2523">
      <w:pPr>
        <w:pStyle w:val="Listenabsatz"/>
        <w:numPr>
          <w:ilvl w:val="0"/>
          <w:numId w:val="38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Misurare regolarmente la quantità di rifiuti alimentari, identificarne l’origine e stabilire degli obiettivi di riduzione.</w:t>
      </w:r>
    </w:p>
    <w:p w14:paraId="482FCE52" w14:textId="77777777" w:rsidR="004D2523" w:rsidRPr="000A70E5" w:rsidRDefault="004D2523" w:rsidP="004D2523">
      <w:pPr>
        <w:pStyle w:val="Listenabsatz"/>
        <w:numPr>
          <w:ilvl w:val="0"/>
          <w:numId w:val="38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Evitare i resti e gli avanzi nei piatti acquistando, cucinando e servendo le giuste quantità secondo le disposizioni della SSN.</w:t>
      </w:r>
    </w:p>
    <w:p w14:paraId="6D0B0205" w14:textId="7044EF3F" w:rsidR="004D2523" w:rsidRPr="000A70E5" w:rsidRDefault="004D2523" w:rsidP="004D2523">
      <w:pPr>
        <w:pStyle w:val="Listenabsatz"/>
        <w:numPr>
          <w:ilvl w:val="0"/>
          <w:numId w:val="38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Evitare di preparare dei piatti con le pietanze a solo scopo di esposizione.</w:t>
      </w:r>
    </w:p>
    <w:p w14:paraId="5A5958AD" w14:textId="77777777" w:rsidR="004D2523" w:rsidRPr="000A70E5" w:rsidRDefault="004D2523" w:rsidP="004D2523">
      <w:pPr>
        <w:pStyle w:val="Listenabsatz"/>
        <w:numPr>
          <w:ilvl w:val="0"/>
          <w:numId w:val="38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Preferire delle pietanze impiattate anziché i buffet che in genere aumentano lo spreco alimentare.</w:t>
      </w:r>
    </w:p>
    <w:p w14:paraId="26E03D28" w14:textId="77777777" w:rsidR="004D2523" w:rsidRPr="000A70E5" w:rsidRDefault="004D2523" w:rsidP="004D2523">
      <w:pPr>
        <w:pStyle w:val="berschrift2"/>
        <w:rPr>
          <w:sz w:val="24"/>
          <w:szCs w:val="24"/>
          <w:lang w:val="it-IT"/>
        </w:rPr>
      </w:pPr>
      <w:bookmarkStart w:id="14" w:name="_Toc50372676"/>
      <w:bookmarkStart w:id="15" w:name="_Toc54774857"/>
      <w:bookmarkStart w:id="16" w:name="_Toc56153290"/>
      <w:r w:rsidRPr="000A70E5">
        <w:rPr>
          <w:lang w:val="it-IT"/>
        </w:rPr>
        <w:t>Preferire i prodotti provenienti da produzioni sostenibili e dal commercio equo</w:t>
      </w:r>
      <w:bookmarkEnd w:id="14"/>
      <w:bookmarkEnd w:id="15"/>
      <w:bookmarkEnd w:id="16"/>
    </w:p>
    <w:p w14:paraId="3D019E35" w14:textId="06B91248" w:rsidR="000E188B" w:rsidRPr="000A70E5" w:rsidRDefault="004D2523" w:rsidP="00DF3D60">
      <w:p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 xml:space="preserve">Il metodo di produzione agricola comprende vari aspetti, quali i metodi di coltivazione (gestione dei fertilizzanti e dei prodotti fitosanitari, gestione del suolo e dell’acqua, mantenimento della biodiversità) o i metodi di allevamento (benessere degli animali, sfruttamento delle risorse ed emissioni di gas serra). Infine, il metodo di produzione incide </w:t>
      </w:r>
      <w:r w:rsidRPr="000A70E5">
        <w:rPr>
          <w:color w:val="000000" w:themeColor="text1"/>
          <w:lang w:val="it-IT"/>
        </w:rPr>
        <w:lastRenderedPageBreak/>
        <w:t>anche sulle condizioni di lavoro degli addetti nel settore agricolo. Nelle commesse pubbliche, l’osservanza degli 8 accordi di base dell’Organizzazione mondiale del lavoro (OIL) rientra nelle condizioni di partecipazione.</w:t>
      </w:r>
    </w:p>
    <w:p w14:paraId="279041AD" w14:textId="77777777" w:rsidR="00F87EC6" w:rsidRPr="000A70E5" w:rsidRDefault="00F87EC6" w:rsidP="004D2523">
      <w:pPr>
        <w:rPr>
          <w:lang w:val="it-IT"/>
        </w:rPr>
      </w:pPr>
    </w:p>
    <w:p w14:paraId="0838D110" w14:textId="77777777" w:rsidR="000A70E5" w:rsidRPr="000A70E5" w:rsidRDefault="000A70E5" w:rsidP="000A70E5">
      <w:pPr>
        <w:rPr>
          <w:lang w:val="it-IT"/>
        </w:rPr>
      </w:pPr>
      <w:r w:rsidRPr="000A70E5">
        <w:rPr>
          <w:lang w:val="it-IT"/>
        </w:rPr>
        <w:t>Per quanto possibile ci impegnammo a:</w:t>
      </w:r>
    </w:p>
    <w:p w14:paraId="729B074E" w14:textId="6A202262" w:rsidR="000813C0" w:rsidRPr="000A70E5" w:rsidRDefault="000813C0" w:rsidP="000813C0">
      <w:pPr>
        <w:rPr>
          <w:b/>
          <w:bCs/>
          <w:color w:val="556E28"/>
          <w:sz w:val="10"/>
          <w:szCs w:val="10"/>
          <w:lang w:val="it-IT"/>
        </w:rPr>
      </w:pPr>
    </w:p>
    <w:p w14:paraId="2E5176BB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Privilegiare i prodotti che recano un marchio biologico raccomandato dalle guide ufficiali (ad es. la Gemma di Bio Suisse o equivalenti).</w:t>
      </w:r>
    </w:p>
    <w:p w14:paraId="0644B349" w14:textId="77777777" w:rsidR="004D2523" w:rsidRPr="000A70E5" w:rsidRDefault="004D2523" w:rsidP="004D2523">
      <w:pPr>
        <w:pStyle w:val="Listenabsatz"/>
        <w:numPr>
          <w:ilvl w:val="0"/>
          <w:numId w:val="9"/>
        </w:numPr>
        <w:jc w:val="left"/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Privilegiare i pesci che recano un marchio affidabile (ad esempio MSC, ASC, la Gemma di Bio Suisse o equivalenti).</w:t>
      </w:r>
    </w:p>
    <w:p w14:paraId="149EB8B6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Privilegiare i prodotti (carne, uova e prodotti lattiero-caseari) provenienti da allevamenti le cui condizioni di detenzione garantiscono il rispetto delle risorse naturali e un elevato benessere degli animali (ad es. i marchi raccomandati dalle guide ufficiali, i programmi SSRA e URA o equivalenti).</w:t>
      </w:r>
    </w:p>
    <w:p w14:paraId="2820D2A5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Privilegiare l’allevamento all’aria aperta o in condizioni consone alle esigenze della specie.</w:t>
      </w:r>
    </w:p>
    <w:p w14:paraId="0E3DC415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Privilegiare i prodotti esotici (ad es. tè, caffè, cacao, cioccolato, succhi di frutta e frutta) che recano un marchio di commercio equo (ad es. Max Havelaar o equivalente).</w:t>
      </w:r>
    </w:p>
    <w:p w14:paraId="20970728" w14:textId="77777777" w:rsidR="004D2523" w:rsidRPr="000A70E5" w:rsidRDefault="004D2523" w:rsidP="004D2523">
      <w:pPr>
        <w:pStyle w:val="berschrift2"/>
        <w:rPr>
          <w:sz w:val="24"/>
          <w:szCs w:val="24"/>
          <w:lang w:val="it-IT"/>
        </w:rPr>
      </w:pPr>
      <w:bookmarkStart w:id="17" w:name="_Toc50372677"/>
      <w:bookmarkStart w:id="18" w:name="_Toc54774858"/>
      <w:bookmarkStart w:id="19" w:name="_Toc56153291"/>
      <w:r w:rsidRPr="000A70E5">
        <w:rPr>
          <w:lang w:val="it-IT"/>
        </w:rPr>
        <w:t>Bandire le specie ittiche a rischio</w:t>
      </w:r>
      <w:bookmarkEnd w:id="17"/>
      <w:bookmarkEnd w:id="18"/>
      <w:bookmarkEnd w:id="19"/>
    </w:p>
    <w:p w14:paraId="0335F768" w14:textId="11B0D228" w:rsidR="000E188B" w:rsidRPr="000A70E5" w:rsidRDefault="004D2523" w:rsidP="00085DF1">
      <w:p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Per evitare il degrado degli ecosistemi marini e la perdita della biodiversità. Il pescato è considerato sostenibile se la specie non è a rischio a causa della pesca eccessiva, la tecnica di pesca rispetta l’ecosistema (ad es. fondi marini, catture accidentali) ed è rispettata la taglia minima.</w:t>
      </w:r>
    </w:p>
    <w:p w14:paraId="477AF08B" w14:textId="77777777" w:rsidR="000A70E5" w:rsidRPr="000A70E5" w:rsidRDefault="000A70E5" w:rsidP="00085DF1">
      <w:pPr>
        <w:rPr>
          <w:color w:val="000000" w:themeColor="text1"/>
          <w:lang w:val="it-IT"/>
        </w:rPr>
      </w:pPr>
    </w:p>
    <w:p w14:paraId="07EE9343" w14:textId="45F74D7B" w:rsidR="000E188B" w:rsidRPr="000A70E5" w:rsidRDefault="000A70E5" w:rsidP="000E188B">
      <w:pPr>
        <w:rPr>
          <w:lang w:val="it-IT"/>
        </w:rPr>
      </w:pPr>
      <w:r w:rsidRPr="000A70E5">
        <w:rPr>
          <w:lang w:val="it-IT"/>
        </w:rPr>
        <w:t>Per quanto possibile ci impegnammo a:</w:t>
      </w:r>
    </w:p>
    <w:p w14:paraId="2C05BC19" w14:textId="77777777" w:rsidR="00144941" w:rsidRPr="000A70E5" w:rsidRDefault="00144941" w:rsidP="000E188B">
      <w:pPr>
        <w:rPr>
          <w:sz w:val="10"/>
          <w:szCs w:val="10"/>
          <w:lang w:val="it-IT"/>
        </w:rPr>
      </w:pPr>
    </w:p>
    <w:p w14:paraId="33C39654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Proporre piatti a base di pesce, frutti di mare e crostacei al massimo 2–4 volte al mese (compresi anche i prodotti ittici utilizzati nelle insalate, nei panini ecc.).</w:t>
      </w:r>
    </w:p>
    <w:p w14:paraId="716AE297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Privilegiare l’acquisto di specie ittiche non a rischio e provenienti da una pesca o da un allevamento rispettosi (ad es. pesca con la lenza).</w:t>
      </w:r>
    </w:p>
    <w:p w14:paraId="2C83AA8A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Proporre specie ittiche sotto sfruttate, le cui riserve non sono considerate a rischio secondo le guide ufficiali.</w:t>
      </w:r>
    </w:p>
    <w:p w14:paraId="58EC0662" w14:textId="77777777" w:rsidR="004D2523" w:rsidRPr="000A70E5" w:rsidRDefault="004D2523" w:rsidP="004D2523">
      <w:pPr>
        <w:pStyle w:val="berschrift2"/>
        <w:rPr>
          <w:lang w:val="it-IT"/>
        </w:rPr>
      </w:pPr>
      <w:bookmarkStart w:id="20" w:name="_Toc50372678"/>
      <w:bookmarkStart w:id="21" w:name="_Toc54774859"/>
      <w:bookmarkStart w:id="22" w:name="_Toc56153292"/>
      <w:r w:rsidRPr="000A70E5">
        <w:rPr>
          <w:lang w:val="it-IT"/>
        </w:rPr>
        <w:t>Favorire i prodotti di stagione</w:t>
      </w:r>
      <w:bookmarkEnd w:id="20"/>
      <w:bookmarkEnd w:id="21"/>
      <w:bookmarkEnd w:id="22"/>
    </w:p>
    <w:p w14:paraId="38DDE142" w14:textId="324022E0" w:rsidR="00F87EC6" w:rsidRPr="000A70E5" w:rsidRDefault="004D2523" w:rsidP="004D2523">
      <w:p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La stagionalità rappresenta il ciclo naturale di frutta e verdura nel Paese di produzione. Un prodotto di stagione, quindi, non proviene da serre riscaldate artificialmente. Attenzione però: la stagionalità non corrisponde necessariamente alla regionalità. Ad esempio, d’inverno si possono trovare facilmente pomodori svizzeri provenienti da serre riscaldate, quindi di origine locale ma prodotti fuori stagione.</w:t>
      </w:r>
    </w:p>
    <w:p w14:paraId="6186BE2B" w14:textId="77777777" w:rsidR="000A70E5" w:rsidRPr="000A70E5" w:rsidRDefault="000A70E5" w:rsidP="004D2523">
      <w:pPr>
        <w:rPr>
          <w:color w:val="000000" w:themeColor="text1"/>
          <w:lang w:val="it-IT"/>
        </w:rPr>
      </w:pPr>
    </w:p>
    <w:p w14:paraId="5D6E1784" w14:textId="68DA9B2C" w:rsidR="00F87EC6" w:rsidRPr="000A70E5" w:rsidRDefault="000A70E5" w:rsidP="004D2523">
      <w:pPr>
        <w:rPr>
          <w:lang w:val="it-IT"/>
        </w:rPr>
      </w:pPr>
      <w:r w:rsidRPr="000A70E5">
        <w:rPr>
          <w:lang w:val="it-IT"/>
        </w:rPr>
        <w:t>Per quanto possibile ci impegnammo a:</w:t>
      </w:r>
    </w:p>
    <w:p w14:paraId="4073D226" w14:textId="77777777" w:rsidR="000E188B" w:rsidRPr="000A70E5" w:rsidRDefault="000E188B" w:rsidP="000E188B">
      <w:pPr>
        <w:rPr>
          <w:sz w:val="10"/>
          <w:szCs w:val="10"/>
          <w:lang w:val="it-IT"/>
        </w:rPr>
      </w:pPr>
    </w:p>
    <w:p w14:paraId="4E335344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Acquistare preferibilmente frutta e verdura non coltivate in serre riscaldate.</w:t>
      </w:r>
    </w:p>
    <w:p w14:paraId="220E3896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lastRenderedPageBreak/>
        <w:t>Moderare il consumo di frutta e verdura esotiche</w:t>
      </w:r>
      <w:r w:rsidRPr="000A70E5">
        <w:rPr>
          <w:rStyle w:val="Funotenzeichen"/>
          <w:color w:val="000000" w:themeColor="text1"/>
          <w:lang w:val="it-IT"/>
        </w:rPr>
        <w:footnoteReference w:id="2"/>
      </w:r>
      <w:r w:rsidRPr="000A70E5">
        <w:rPr>
          <w:color w:val="000000" w:themeColor="text1"/>
          <w:lang w:val="it-IT"/>
        </w:rPr>
        <w:t xml:space="preserve"> e prediligere frutta e verdura locali di stagione.</w:t>
      </w:r>
    </w:p>
    <w:p w14:paraId="169DA704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Evitare i prodotti importati per via aerea consultando un calendario delle stagioni.</w:t>
      </w:r>
    </w:p>
    <w:p w14:paraId="533495D6" w14:textId="77777777" w:rsidR="004D2523" w:rsidRPr="000A70E5" w:rsidRDefault="004D2523" w:rsidP="004D2523">
      <w:pPr>
        <w:pStyle w:val="berschrift2"/>
        <w:rPr>
          <w:lang w:val="it-IT"/>
        </w:rPr>
      </w:pPr>
      <w:bookmarkStart w:id="23" w:name="_Toc50372679"/>
      <w:bookmarkStart w:id="24" w:name="_Toc54774860"/>
      <w:bookmarkStart w:id="25" w:name="_Toc56153293"/>
      <w:r w:rsidRPr="000A70E5">
        <w:rPr>
          <w:lang w:val="it-IT"/>
        </w:rPr>
        <w:t>Favorire i prodotti locali</w:t>
      </w:r>
      <w:bookmarkEnd w:id="23"/>
      <w:bookmarkEnd w:id="24"/>
      <w:bookmarkEnd w:id="25"/>
    </w:p>
    <w:p w14:paraId="6192F603" w14:textId="60A2A089" w:rsidR="004D2523" w:rsidRPr="000A70E5" w:rsidRDefault="004D2523" w:rsidP="004D2523">
      <w:p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E promuovere la tracciabilità degli alimenti. I prodotti locali beneficiano di percorsi di trasporto brevi e dunque sono freschi. Le materie prime provengono dalla regione. Ciò significa che sono state coltivate, allevate o pescate nella regione. Attenzione però: qui il termine «locale» non si riferisce al luogo di trasformazione, lavorazione o confezionamento del prodotto.</w:t>
      </w:r>
    </w:p>
    <w:p w14:paraId="59F59949" w14:textId="77777777" w:rsidR="000A70E5" w:rsidRPr="000A70E5" w:rsidRDefault="000A70E5" w:rsidP="004D2523">
      <w:pPr>
        <w:rPr>
          <w:color w:val="000000" w:themeColor="text1"/>
          <w:lang w:val="it-IT"/>
        </w:rPr>
      </w:pPr>
    </w:p>
    <w:p w14:paraId="08742EF4" w14:textId="1DF1CF18" w:rsidR="00F87EC6" w:rsidRPr="000A70E5" w:rsidRDefault="000A70E5" w:rsidP="004D2523">
      <w:pPr>
        <w:rPr>
          <w:lang w:val="it-IT"/>
        </w:rPr>
      </w:pPr>
      <w:r w:rsidRPr="000A70E5">
        <w:rPr>
          <w:lang w:val="it-IT"/>
        </w:rPr>
        <w:t>Per quanto possibile ci impegnammo a:</w:t>
      </w:r>
    </w:p>
    <w:p w14:paraId="15C51655" w14:textId="77777777" w:rsidR="000E188B" w:rsidRPr="000A70E5" w:rsidRDefault="000E188B" w:rsidP="00D46DA9">
      <w:pPr>
        <w:rPr>
          <w:sz w:val="10"/>
          <w:szCs w:val="10"/>
          <w:lang w:val="it-IT"/>
        </w:rPr>
      </w:pPr>
    </w:p>
    <w:p w14:paraId="40C13F53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Preferire l’acquisto di prodotti coltivati, allevati o pescati nella regione (regola non applicabile ai bandi di concorso che sottostanno all’osservanza degli accordi internazionali).</w:t>
      </w:r>
    </w:p>
    <w:p w14:paraId="50A72366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Evitare i prodotti importati per via aerea.</w:t>
      </w:r>
    </w:p>
    <w:p w14:paraId="3705EE80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Comunicare chiaramente l’origine di carne e pesce nei menu e/o su un apposito cartello, come stabilito nell’articolo 5 capoverso 1 lettera b dell’ordinanza del DFI del 16 dicembre 2016 concernente le informazioni sulle derrate alimentari (OID).</w:t>
      </w:r>
    </w:p>
    <w:p w14:paraId="799B744C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Preferire i prodotti che presentano una buona tracciabilità delle materie prime e/o degli ingredienti.</w:t>
      </w:r>
    </w:p>
    <w:p w14:paraId="1E4AB948" w14:textId="77777777" w:rsidR="004D2523" w:rsidRPr="000A70E5" w:rsidRDefault="004D2523" w:rsidP="004D2523">
      <w:pPr>
        <w:pStyle w:val="berschrift2"/>
        <w:rPr>
          <w:lang w:val="it-IT"/>
        </w:rPr>
      </w:pPr>
      <w:bookmarkStart w:id="26" w:name="_Toc50372680"/>
      <w:bookmarkStart w:id="27" w:name="_Toc54774861"/>
      <w:bookmarkStart w:id="28" w:name="_Toc56153294"/>
      <w:r w:rsidRPr="000A70E5">
        <w:rPr>
          <w:lang w:val="it-IT"/>
        </w:rPr>
        <w:t>Ridurre gli imballaggi delle derrate alimentari</w:t>
      </w:r>
      <w:bookmarkEnd w:id="26"/>
      <w:bookmarkEnd w:id="27"/>
      <w:bookmarkEnd w:id="28"/>
    </w:p>
    <w:p w14:paraId="500D5861" w14:textId="1B01A3B9" w:rsidR="004D2523" w:rsidRPr="000A70E5" w:rsidRDefault="004D2523" w:rsidP="004D2523">
      <w:p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Il principale obiettivo degli imballaggi è garantire la conservazione degli alimenti (ed evitare così il più possibile lo spreco alimentare). Ciononostante, molti imballaggi si potrebbero evitare. Va detto che l’impatto della produzione alimentare sull’ambiente è notevolmente superiore a quello degli imballaggi.</w:t>
      </w:r>
    </w:p>
    <w:p w14:paraId="28F2BBA9" w14:textId="77777777" w:rsidR="000A70E5" w:rsidRPr="000A70E5" w:rsidRDefault="000A70E5" w:rsidP="004D2523">
      <w:pPr>
        <w:rPr>
          <w:color w:val="000000" w:themeColor="text1"/>
          <w:lang w:val="it-IT"/>
        </w:rPr>
      </w:pPr>
    </w:p>
    <w:p w14:paraId="633EEE4A" w14:textId="169631D0" w:rsidR="00F87EC6" w:rsidRPr="000A70E5" w:rsidRDefault="000A70E5" w:rsidP="004D2523">
      <w:pPr>
        <w:rPr>
          <w:lang w:val="it-IT"/>
        </w:rPr>
      </w:pPr>
      <w:r w:rsidRPr="000A70E5">
        <w:rPr>
          <w:lang w:val="it-IT"/>
        </w:rPr>
        <w:t>Per quanto possibile ci impegnammo a:</w:t>
      </w:r>
    </w:p>
    <w:p w14:paraId="24D91A7A" w14:textId="77777777" w:rsidR="000E188B" w:rsidRPr="000A70E5" w:rsidRDefault="000E188B" w:rsidP="000B175F">
      <w:pPr>
        <w:rPr>
          <w:sz w:val="10"/>
          <w:szCs w:val="10"/>
          <w:lang w:val="it-IT"/>
        </w:rPr>
      </w:pPr>
    </w:p>
    <w:p w14:paraId="0CCC3EE5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Preferire l’acquisto di prodotti venduti sfusi in contenitori riutilizzabili (ad es. le cassette IFCO).</w:t>
      </w:r>
    </w:p>
    <w:p w14:paraId="1295820E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Evitare di comprare prodotti che presentano imballaggi non necessari o eccessivi.</w:t>
      </w:r>
    </w:p>
    <w:p w14:paraId="0CAB02AB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Evitare di comprare l’acqua in bottiglia, preferire quella del rubinetto.</w:t>
      </w:r>
    </w:p>
    <w:p w14:paraId="08ECDB14" w14:textId="77777777" w:rsidR="004D2523" w:rsidRPr="000A70E5" w:rsidRDefault="004D2523" w:rsidP="004D2523">
      <w:pPr>
        <w:pStyle w:val="berschrift2"/>
        <w:rPr>
          <w:lang w:val="it-IT"/>
        </w:rPr>
      </w:pPr>
      <w:bookmarkStart w:id="29" w:name="_Toc50372681"/>
      <w:bookmarkStart w:id="30" w:name="_Toc54774862"/>
      <w:bookmarkStart w:id="31" w:name="_Toc56153295"/>
      <w:r w:rsidRPr="000A70E5">
        <w:rPr>
          <w:lang w:val="it-IT"/>
        </w:rPr>
        <w:t>Rispettare l’equilibrio nutrizionale dei pasti</w:t>
      </w:r>
      <w:bookmarkEnd w:id="29"/>
      <w:bookmarkEnd w:id="30"/>
      <w:bookmarkEnd w:id="31"/>
    </w:p>
    <w:p w14:paraId="7854C2FE" w14:textId="77777777" w:rsidR="004D2523" w:rsidRPr="000A70E5" w:rsidRDefault="004D2523" w:rsidP="004D2523">
      <w:p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Un’alimentazione sana, vale a dire equilibrata e variata, consente di prevenire le malattie dovute all’alimentazione. Purtroppo, in Svizzera molte persone consumano sale, zucchero e grassi in quantità eccessive, il che favorisce malattie come il diabete e l’obesità o patologie cardiovascolari. Per rimediarvi, varie istituzioni nazionali e internazionali diffondono raccomandazioni sugli apporti nutrizionali.</w:t>
      </w:r>
    </w:p>
    <w:p w14:paraId="670433F7" w14:textId="15F8ACEB" w:rsidR="000E188B" w:rsidRPr="000A70E5" w:rsidRDefault="000E188B" w:rsidP="008A398A">
      <w:pPr>
        <w:rPr>
          <w:lang w:val="it-IT"/>
        </w:rPr>
      </w:pPr>
    </w:p>
    <w:p w14:paraId="405B5ED5" w14:textId="2969EE85" w:rsidR="000E188B" w:rsidRPr="000A70E5" w:rsidRDefault="000A70E5" w:rsidP="000E188B">
      <w:pPr>
        <w:rPr>
          <w:lang w:val="it-IT"/>
        </w:rPr>
      </w:pPr>
      <w:r w:rsidRPr="000A70E5">
        <w:rPr>
          <w:lang w:val="it-IT"/>
        </w:rPr>
        <w:t>Per quanto possibile ci impegnammo a:</w:t>
      </w:r>
    </w:p>
    <w:p w14:paraId="4B75DC35" w14:textId="0F0584D9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lastRenderedPageBreak/>
        <w:t xml:space="preserve">Proporre un’alimentazione </w:t>
      </w:r>
      <w:r w:rsidR="008878B6" w:rsidRPr="000A70E5">
        <w:rPr>
          <w:color w:val="000000" w:themeColor="text1"/>
          <w:lang w:val="it-IT"/>
        </w:rPr>
        <w:t>varia</w:t>
      </w:r>
      <w:r w:rsidRPr="000A70E5">
        <w:rPr>
          <w:color w:val="000000" w:themeColor="text1"/>
          <w:lang w:val="it-IT"/>
        </w:rPr>
        <w:t xml:space="preserve"> e conforme alle quantità prescritte dalla SSN in base all’età (cfr. «Strumenti»).</w:t>
      </w:r>
    </w:p>
    <w:p w14:paraId="038DC855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Evitare i prodotti trasformati, nonché una quantità eccesiva di zuccheri, sale e additivi alimentari quali conservanti, esaltatori di sapidità e coloranti (cfr. «Strumenti»).</w:t>
      </w:r>
    </w:p>
    <w:p w14:paraId="714B07A5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Utilizzare materie grasse di buona qualità sotto il profilo nutrizionale (ad es. l’olio di colza e l’olio di oliva) e rispettare le quantità prescritte (cfr. «Strumenti»).</w:t>
      </w:r>
    </w:p>
    <w:p w14:paraId="66712991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Proporre pasti che abbiano la seguente ripartizione: 2/5 di verdure, 2/5 di farinacei e 1/5 di alimenti proteici.</w:t>
      </w:r>
    </w:p>
    <w:p w14:paraId="1E549DC8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Facilitare l’accesso all’acqua del rubinetto.</w:t>
      </w:r>
    </w:p>
    <w:p w14:paraId="3AC6CE0F" w14:textId="77777777" w:rsidR="004D2523" w:rsidRPr="000A70E5" w:rsidRDefault="004D2523" w:rsidP="004D2523">
      <w:pPr>
        <w:pStyle w:val="berschrift2"/>
        <w:rPr>
          <w:lang w:val="it-IT"/>
        </w:rPr>
      </w:pPr>
      <w:bookmarkStart w:id="32" w:name="_Toc50372682"/>
      <w:bookmarkStart w:id="33" w:name="_Toc54774863"/>
      <w:bookmarkStart w:id="34" w:name="_Toc56153296"/>
      <w:r w:rsidRPr="000A70E5">
        <w:rPr>
          <w:lang w:val="it-IT"/>
        </w:rPr>
        <w:t>Informare i consumatori in merito agli allergeni</w:t>
      </w:r>
      <w:bookmarkEnd w:id="32"/>
      <w:bookmarkEnd w:id="33"/>
      <w:bookmarkEnd w:id="34"/>
    </w:p>
    <w:p w14:paraId="7A540F99" w14:textId="77777777" w:rsidR="004D2523" w:rsidRPr="000A70E5" w:rsidRDefault="004D2523" w:rsidP="004D2523">
      <w:p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Per legge, ogni consumatore può chiedere e ottenere l’elenco degli allergeni eventualmente contenuti negli ingredienti utilizzati per la preparazione dei pasti, compresi quelli presenti solo in tracce (artt. 10 e 11 OID). Tali informazioni devono essere fornite per iscritto, ma possono essere comunicate anche verbalmente a determinate condizioni (art. 5 OID). L’elenco dei 14 allergeni alimentari secondo il regolamento UE 1169/2011 serve da riferimento.</w:t>
      </w:r>
    </w:p>
    <w:p w14:paraId="19880370" w14:textId="6B57CE03" w:rsidR="000E188B" w:rsidRPr="000A70E5" w:rsidRDefault="000E188B" w:rsidP="00CC0905">
      <w:pPr>
        <w:rPr>
          <w:lang w:val="it-IT"/>
        </w:rPr>
      </w:pPr>
    </w:p>
    <w:p w14:paraId="08044E7E" w14:textId="1CA1CC52" w:rsidR="00144941" w:rsidRPr="000A70E5" w:rsidRDefault="000A70E5" w:rsidP="004D2523">
      <w:pPr>
        <w:rPr>
          <w:lang w:val="it-IT"/>
        </w:rPr>
      </w:pPr>
      <w:r w:rsidRPr="000A70E5">
        <w:rPr>
          <w:lang w:val="it-IT"/>
        </w:rPr>
        <w:t>Per quanto possibile ci impegnammo a:</w:t>
      </w:r>
    </w:p>
    <w:p w14:paraId="22872AA6" w14:textId="77777777" w:rsidR="000E188B" w:rsidRPr="000A70E5" w:rsidRDefault="000E188B" w:rsidP="00CC0905">
      <w:pPr>
        <w:rPr>
          <w:sz w:val="10"/>
          <w:szCs w:val="10"/>
          <w:lang w:val="it-IT"/>
        </w:rPr>
      </w:pPr>
    </w:p>
    <w:p w14:paraId="6750936A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Informare il personale di servizio affinché possa rispondere alle domande dei consumatori sugli allergeni.</w:t>
      </w:r>
    </w:p>
    <w:p w14:paraId="193428BF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Informare i consumatori con modalità adeguate (ad es. sul contenuto, anche modesto, di farina di frumento o glutine nelle salse).</w:t>
      </w:r>
    </w:p>
    <w:p w14:paraId="010BD5B2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Specificare gli allergeni sulle etichette dei piatti da asporto.</w:t>
      </w:r>
    </w:p>
    <w:p w14:paraId="3E11CAE2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Scegliere per quanto possibile prodotti privi di allergeni quando si utilizzano leganti, condimenti (ad es. brodo granulare, preparati per salse, spezie in polvere) e liofilizzati (ad es. creme, minestre in bustina).</w:t>
      </w:r>
    </w:p>
    <w:p w14:paraId="4DCB2067" w14:textId="77777777" w:rsidR="004D2523" w:rsidRPr="000A70E5" w:rsidRDefault="004D2523" w:rsidP="004D2523">
      <w:pPr>
        <w:pStyle w:val="berschrift2"/>
        <w:rPr>
          <w:lang w:val="it-IT"/>
        </w:rPr>
      </w:pPr>
      <w:bookmarkStart w:id="35" w:name="_Toc50372683"/>
      <w:bookmarkStart w:id="36" w:name="_Toc54774864"/>
      <w:bookmarkStart w:id="37" w:name="_Toc56153297"/>
      <w:r w:rsidRPr="000A70E5">
        <w:rPr>
          <w:lang w:val="it-IT"/>
        </w:rPr>
        <w:t>Prevedere un monitoraggio duraturo della sostenibilità</w:t>
      </w:r>
      <w:bookmarkEnd w:id="35"/>
      <w:bookmarkEnd w:id="36"/>
      <w:bookmarkEnd w:id="37"/>
    </w:p>
    <w:p w14:paraId="6C304CFC" w14:textId="77777777" w:rsidR="004D2523" w:rsidRPr="000A70E5" w:rsidRDefault="004D2523" w:rsidP="004D2523">
      <w:p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Per seguire un approccio di sostenibilità a lungo termine devono essere fissati e pubblicati determinati obiettivi che riguardano la struttura. Ciò consente da un lato di ufficializzare tale approccio con collaboratori, consumatori e fornitori, dall’altro di renderlo permanente a prescindere dai cambiamenti di personale. Gli obiettivi perseguiti dovrebbero includere il rispetto dell’equilibrio budgetario e la selezione di partner competenti, puntando altresì, con gli sforzi intrapresi, a sensibilizzare tutte le parti interessate.</w:t>
      </w:r>
    </w:p>
    <w:p w14:paraId="17284F6E" w14:textId="605162B5" w:rsidR="000E188B" w:rsidRPr="000A70E5" w:rsidRDefault="000E188B" w:rsidP="00B10939">
      <w:pPr>
        <w:rPr>
          <w:lang w:val="it-IT"/>
        </w:rPr>
      </w:pPr>
    </w:p>
    <w:p w14:paraId="0E3FD975" w14:textId="4D6C1FB5" w:rsidR="00144941" w:rsidRPr="000A70E5" w:rsidRDefault="000A70E5" w:rsidP="004D2523">
      <w:pPr>
        <w:rPr>
          <w:lang w:val="it-IT"/>
        </w:rPr>
      </w:pPr>
      <w:r w:rsidRPr="000A70E5">
        <w:rPr>
          <w:lang w:val="it-IT"/>
        </w:rPr>
        <w:t>Per quanto possibile ci impegnammo a:</w:t>
      </w:r>
    </w:p>
    <w:p w14:paraId="2D449D73" w14:textId="77777777" w:rsidR="000E188B" w:rsidRPr="000A70E5" w:rsidRDefault="000E188B" w:rsidP="00B10939">
      <w:pPr>
        <w:rPr>
          <w:sz w:val="10"/>
          <w:szCs w:val="10"/>
          <w:lang w:val="it-IT"/>
        </w:rPr>
      </w:pPr>
    </w:p>
    <w:p w14:paraId="40A47D5C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Formalizzare e pubblicare gli obiettivi di sostenibilità SMART per ogni tema applicabile alla struttura; determinare un metodo di monitoraggio di questi obiettivi, ad esempio mediante i criteri proposti nel presente documento.</w:t>
      </w:r>
    </w:p>
    <w:p w14:paraId="016A1C00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Programmare una procedura di monitoraggio mensile del budget per gli acquisti.</w:t>
      </w:r>
    </w:p>
    <w:p w14:paraId="5EC0DCDA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 xml:space="preserve">Comunicare regolarmente con il personale e i consumatori per sensibilizzarli in merito al potenziale di miglioramento del bilancio ambientale e all’impatto </w:t>
      </w:r>
      <w:r w:rsidRPr="000A70E5">
        <w:rPr>
          <w:color w:val="000000" w:themeColor="text1"/>
          <w:lang w:val="it-IT"/>
        </w:rPr>
        <w:lastRenderedPageBreak/>
        <w:t>dell’alimentazione sull’ambiente, sulla salute e sulle condizioni di lavoro dei produttori.</w:t>
      </w:r>
    </w:p>
    <w:p w14:paraId="27E58186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In caso di gestione in concessione, scegliere un partner di ristorazione con competenze che permettano di raggiungere gli obiettivi di sviluppo sostenibile perseguiti.</w:t>
      </w:r>
    </w:p>
    <w:p w14:paraId="2B953A40" w14:textId="77777777" w:rsidR="004D2523" w:rsidRPr="000A70E5" w:rsidRDefault="004D2523" w:rsidP="004D2523">
      <w:pPr>
        <w:pStyle w:val="berschrift2"/>
        <w:rPr>
          <w:lang w:val="it-IT"/>
        </w:rPr>
      </w:pPr>
      <w:bookmarkStart w:id="38" w:name="_Toc50372684"/>
      <w:bookmarkStart w:id="39" w:name="_Toc54774865"/>
      <w:bookmarkStart w:id="40" w:name="_Toc56153298"/>
      <w:r w:rsidRPr="000A70E5">
        <w:rPr>
          <w:lang w:val="it-IT"/>
        </w:rPr>
        <w:t>Ridurre il consumo di energia in cucina</w:t>
      </w:r>
      <w:bookmarkEnd w:id="38"/>
      <w:bookmarkEnd w:id="39"/>
      <w:bookmarkEnd w:id="40"/>
    </w:p>
    <w:p w14:paraId="4C0B47EB" w14:textId="77777777" w:rsidR="004D2523" w:rsidRPr="000A70E5" w:rsidRDefault="004D2523" w:rsidP="004D2523">
      <w:p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In cucina, i costi legati al consumo di energia sono relativamente modesti rispetto a quelli del personale, delle merci e della locazione dei locali. Tuttavia il potenziale di risparmio è notevole (fino al 40 %) e può essere applicato facilmente, informandosi correttamente e cambiando alcuni comportamenti. Le moderne tecnologie consentono di ottenere circa la metà del risparmio energetico. Anche il corretto utilizzo delle attrezzature, ad esempio il fatto di spegnere gli elettrodomestici durante i periodi di inattività, consente un notevole risparmio energetico.</w:t>
      </w:r>
    </w:p>
    <w:p w14:paraId="013532D6" w14:textId="3BC8FC82" w:rsidR="002955D0" w:rsidRPr="000A70E5" w:rsidRDefault="002955D0" w:rsidP="00EC046C">
      <w:pPr>
        <w:rPr>
          <w:lang w:val="it-IT"/>
        </w:rPr>
      </w:pPr>
    </w:p>
    <w:p w14:paraId="5B3C37E0" w14:textId="274C2F09" w:rsidR="00144941" w:rsidRPr="000A70E5" w:rsidRDefault="000A70E5" w:rsidP="004D2523">
      <w:pPr>
        <w:rPr>
          <w:lang w:val="it-IT"/>
        </w:rPr>
      </w:pPr>
      <w:r w:rsidRPr="000A70E5">
        <w:rPr>
          <w:lang w:val="it-IT"/>
        </w:rPr>
        <w:t>Per quanto possibile ci impegnammo a:</w:t>
      </w:r>
    </w:p>
    <w:p w14:paraId="288BE710" w14:textId="77777777" w:rsidR="000E188B" w:rsidRPr="000A70E5" w:rsidRDefault="000E188B" w:rsidP="00EC046C">
      <w:pPr>
        <w:rPr>
          <w:b/>
          <w:bCs/>
          <w:sz w:val="10"/>
          <w:szCs w:val="10"/>
          <w:lang w:val="it-IT"/>
        </w:rPr>
      </w:pPr>
    </w:p>
    <w:p w14:paraId="4F4FDCC1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Formare i collaboratori sui problemi ambientali ed energetici al fine di garantire un utilizzo efficiente delle attrezzature ed evitare sprechi di energia inutili.</w:t>
      </w:r>
    </w:p>
    <w:p w14:paraId="45D4AD9B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In caso di ristrutturazione della cucina o dell’allestimento di una nuova, calcolare e confrontare i consumi energetici e idrici per trovare una soluzione ecosostenibile e per ridurre i costi di esercizio sul lungo periodo.</w:t>
      </w:r>
    </w:p>
    <w:p w14:paraId="0B14F6D1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Nell’acquisto di nuova attrezzatura, scegliere quella che risparmia più energia e acqua.</w:t>
      </w:r>
    </w:p>
    <w:p w14:paraId="3E4D6BCB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Preferire le cucine a induzione.</w:t>
      </w:r>
    </w:p>
    <w:p w14:paraId="3B2D299B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Preferire i comandi intelligenti, ad esempio i distributori automatici e i frigoriferi per bevande che passano automaticamente in modalità stand-by al di fuori delle ore di utilizzo (sempre che si tratti di derrate alimentari non deperibili).</w:t>
      </w:r>
    </w:p>
    <w:p w14:paraId="43BFE4E2" w14:textId="77777777" w:rsidR="004D2523" w:rsidRPr="000A70E5" w:rsidRDefault="004D2523" w:rsidP="004D2523">
      <w:pPr>
        <w:pStyle w:val="berschrift2"/>
        <w:rPr>
          <w:lang w:val="it-IT"/>
        </w:rPr>
      </w:pPr>
      <w:bookmarkStart w:id="41" w:name="_Toc50372685"/>
      <w:bookmarkStart w:id="42" w:name="_Toc54774866"/>
      <w:bookmarkStart w:id="43" w:name="_Toc56153299"/>
      <w:r w:rsidRPr="000A70E5">
        <w:rPr>
          <w:lang w:val="it-IT"/>
        </w:rPr>
        <w:t>Preferire i prodotti di pulizia ecologici</w:t>
      </w:r>
      <w:bookmarkEnd w:id="41"/>
      <w:bookmarkEnd w:id="42"/>
      <w:bookmarkEnd w:id="43"/>
    </w:p>
    <w:p w14:paraId="7EC37B36" w14:textId="77777777" w:rsidR="004D2523" w:rsidRPr="000A70E5" w:rsidRDefault="004D2523" w:rsidP="004D2523">
      <w:p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I prodotti di pulizia sono il sapone per le mani e i detersivi per le stoviglie, il bucato e le pulizie. Questi prodotti non sono innocui né per l’ambiente né per la salute: i microinquinanti contaminano infatti laghi, fiumi e falde acquifere. Inoltre molti di questi prodotti possono causare problemi respiratori o irritazioni cutanee. Alcune sostanze sono nocive anche per i microrganismi che intervengono nella depurazione delle acque reflue.</w:t>
      </w:r>
    </w:p>
    <w:p w14:paraId="4C00E1E2" w14:textId="65132381" w:rsidR="000E188B" w:rsidRPr="000A70E5" w:rsidRDefault="000E188B" w:rsidP="00A949DF">
      <w:pPr>
        <w:rPr>
          <w:lang w:val="it-IT"/>
        </w:rPr>
      </w:pPr>
    </w:p>
    <w:p w14:paraId="55858C07" w14:textId="345B1CD6" w:rsidR="00144941" w:rsidRPr="000A70E5" w:rsidRDefault="000A70E5" w:rsidP="004D2523">
      <w:pPr>
        <w:rPr>
          <w:lang w:val="it-IT"/>
        </w:rPr>
      </w:pPr>
      <w:r w:rsidRPr="000A70E5">
        <w:rPr>
          <w:lang w:val="it-IT"/>
        </w:rPr>
        <w:t>Per quanto possibile ci impegnammo a:</w:t>
      </w:r>
    </w:p>
    <w:p w14:paraId="68EBBE06" w14:textId="77777777" w:rsidR="000E188B" w:rsidRPr="000A70E5" w:rsidRDefault="000E188B" w:rsidP="00A949DF">
      <w:pPr>
        <w:rPr>
          <w:sz w:val="10"/>
          <w:szCs w:val="10"/>
          <w:lang w:val="it-IT"/>
        </w:rPr>
      </w:pPr>
    </w:p>
    <w:p w14:paraId="7298D392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Utilizzare saponi per le mani e prodotti di pulizia che soddisfano i requisiti di un ecolabel europeo, come l’Ecolabel UE, Blauer Engel, Ecocert o equivalenti.</w:t>
      </w:r>
    </w:p>
    <w:p w14:paraId="6BF975BB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Moderare la quantità di prodotto utilizzato, dosandolo con parsimonia.</w:t>
      </w:r>
    </w:p>
    <w:p w14:paraId="5C268423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Evitare il più possibile gli spray, particolarmente dannosi per la salute e l’ambiente.</w:t>
      </w:r>
    </w:p>
    <w:p w14:paraId="4CA820A2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Non utilizzare i seguenti prodotti: disgorganti per scarichi, candeggina, tavolette igienizzanti per WC, disinfettanti, deodoranti, salviettine detergenti usa e getta.</w:t>
      </w:r>
    </w:p>
    <w:p w14:paraId="6BB52784" w14:textId="77777777" w:rsidR="004D2523" w:rsidRPr="000A70E5" w:rsidRDefault="004D2523" w:rsidP="004D2523">
      <w:pPr>
        <w:pStyle w:val="berschrift2"/>
        <w:rPr>
          <w:lang w:val="it-IT"/>
        </w:rPr>
      </w:pPr>
      <w:bookmarkStart w:id="44" w:name="_Toc50372686"/>
      <w:bookmarkStart w:id="45" w:name="_Toc54774867"/>
      <w:bookmarkStart w:id="46" w:name="_Toc56153300"/>
      <w:r w:rsidRPr="000A70E5">
        <w:rPr>
          <w:lang w:val="it-IT"/>
        </w:rPr>
        <w:lastRenderedPageBreak/>
        <w:t>Evitare tutti i contenitori monoso</w:t>
      </w:r>
      <w:bookmarkEnd w:id="44"/>
      <w:bookmarkEnd w:id="45"/>
      <w:bookmarkEnd w:id="46"/>
    </w:p>
    <w:p w14:paraId="5B7DDF54" w14:textId="77777777" w:rsidR="004D2523" w:rsidRPr="000A70E5" w:rsidRDefault="004D2523" w:rsidP="004D2523">
      <w:p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Con il notevole incremento dell’offerta di cibi e bevande da asporto, il volume dei rifiuti prodotti sta raggiungendo dimensioni sempre più preoccupanti. Risorse non rinnovabili come la sabbia (necessaria per produrre il vetro), l’alluminio (lattine) o il petrolio (plastica) sono oggi eccessivamente sfruttate e spesso estratte in condizioni poco sostenibili. La maggior parte di questi rifiuti è difficile da riciclare e costituisce una notevole fonte di inquinamento.</w:t>
      </w:r>
    </w:p>
    <w:p w14:paraId="1D9D7A9B" w14:textId="77777777" w:rsidR="000E188B" w:rsidRPr="000A70E5" w:rsidRDefault="000E188B" w:rsidP="004938CE">
      <w:pPr>
        <w:rPr>
          <w:lang w:val="it-IT"/>
        </w:rPr>
      </w:pPr>
    </w:p>
    <w:p w14:paraId="266E1C27" w14:textId="77777777" w:rsidR="000A70E5" w:rsidRPr="000A70E5" w:rsidRDefault="000A70E5" w:rsidP="000A70E5">
      <w:pPr>
        <w:rPr>
          <w:lang w:val="it-IT"/>
        </w:rPr>
      </w:pPr>
      <w:r w:rsidRPr="000A70E5">
        <w:rPr>
          <w:lang w:val="it-IT"/>
        </w:rPr>
        <w:t>Per quanto possibile ci impegnammo a:</w:t>
      </w:r>
    </w:p>
    <w:p w14:paraId="71081B45" w14:textId="77777777" w:rsidR="000E188B" w:rsidRPr="000A70E5" w:rsidRDefault="000E188B" w:rsidP="004938CE">
      <w:pPr>
        <w:rPr>
          <w:sz w:val="10"/>
          <w:szCs w:val="10"/>
          <w:lang w:val="it-IT"/>
        </w:rPr>
      </w:pPr>
    </w:p>
    <w:p w14:paraId="665777B9" w14:textId="77777777" w:rsidR="004D2523" w:rsidRPr="000A70E5" w:rsidRDefault="004D2523" w:rsidP="004D2523">
      <w:pPr>
        <w:pStyle w:val="Listenabsatz"/>
        <w:numPr>
          <w:ilvl w:val="0"/>
          <w:numId w:val="4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Incoraggiare il consumo di acqua del rubinetto come bevanda principale.</w:t>
      </w:r>
    </w:p>
    <w:p w14:paraId="4498DF94" w14:textId="45BF2573" w:rsidR="004D2523" w:rsidRPr="000A70E5" w:rsidRDefault="004D2523" w:rsidP="004D2523">
      <w:pPr>
        <w:pStyle w:val="Listenabsatz"/>
        <w:numPr>
          <w:ilvl w:val="0"/>
          <w:numId w:val="4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Nei ristoranti vietare contenitori, stoviglie e posate mono</w:t>
      </w:r>
      <w:r w:rsidR="008878B6" w:rsidRPr="000A70E5">
        <w:rPr>
          <w:color w:val="000000" w:themeColor="text1"/>
          <w:lang w:val="it-IT"/>
        </w:rPr>
        <w:t>u</w:t>
      </w:r>
      <w:r w:rsidRPr="000A70E5">
        <w:rPr>
          <w:color w:val="000000" w:themeColor="text1"/>
          <w:lang w:val="it-IT"/>
        </w:rPr>
        <w:t>so.</w:t>
      </w:r>
    </w:p>
    <w:p w14:paraId="37C615C5" w14:textId="77777777" w:rsidR="004D2523" w:rsidRPr="000A70E5" w:rsidRDefault="004D2523" w:rsidP="004D2523">
      <w:pPr>
        <w:pStyle w:val="Listenabsatz"/>
        <w:numPr>
          <w:ilvl w:val="0"/>
          <w:numId w:val="4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Nella ristorazione da asporto mettere a disposizione contenitori, stoviglie e posate riutilizzabili (sistema del vuoto a rendere o vendita dei contenitori).</w:t>
      </w:r>
    </w:p>
    <w:p w14:paraId="453DFAB6" w14:textId="77777777" w:rsidR="004D2523" w:rsidRPr="000A70E5" w:rsidRDefault="004D2523" w:rsidP="004D2523">
      <w:pPr>
        <w:pStyle w:val="Listenabsatz"/>
        <w:numPr>
          <w:ilvl w:val="0"/>
          <w:numId w:val="4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Se i contenitori monoso non possono essere evitati, utilizzare almeno quelli in carta/cartone (se possibile certificati FSC e/o riciclati).</w:t>
      </w:r>
    </w:p>
    <w:p w14:paraId="4E1407A7" w14:textId="58319A59" w:rsidR="00954684" w:rsidRPr="000A70E5" w:rsidRDefault="004D2523" w:rsidP="004D2523">
      <w:pPr>
        <w:pStyle w:val="Listenabsatz"/>
        <w:numPr>
          <w:ilvl w:val="0"/>
          <w:numId w:val="4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Bandire le cannucce e i bastoncini di miscelazione monoso.</w:t>
      </w:r>
    </w:p>
    <w:p w14:paraId="19E20917" w14:textId="77777777" w:rsidR="004D2523" w:rsidRPr="000A70E5" w:rsidRDefault="004D2523" w:rsidP="004D2523">
      <w:pPr>
        <w:pStyle w:val="berschrift2"/>
        <w:rPr>
          <w:lang w:val="it-IT"/>
        </w:rPr>
      </w:pPr>
      <w:bookmarkStart w:id="47" w:name="_Toc50372687"/>
      <w:bookmarkStart w:id="48" w:name="_Toc54774868"/>
      <w:bookmarkStart w:id="49" w:name="_Toc56153301"/>
      <w:r w:rsidRPr="000A70E5">
        <w:rPr>
          <w:lang w:val="it-IT"/>
        </w:rPr>
        <w:t>Favorire il trasporto ecologico dei pasti dalla cucina di produzione al luogo di consumo</w:t>
      </w:r>
      <w:bookmarkEnd w:id="47"/>
      <w:bookmarkEnd w:id="48"/>
      <w:bookmarkEnd w:id="49"/>
    </w:p>
    <w:p w14:paraId="6384EA1A" w14:textId="77777777" w:rsidR="004D2523" w:rsidRPr="000A70E5" w:rsidRDefault="004D2523" w:rsidP="004D2523">
      <w:p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Queste raccomandazioni sono applicabili alle consegne di pasti caldi o freddi preparati al di fuori della struttura. In questo caso, la consegna dei pasti preparati dalla cucina di produzione al luogo di consumo è parte integrante del servizio di ristorazione e l’offerente è responsabile della flotta. Il trasporto di pasti pronti su strada, incide in modo significativo sul cambiamento climatico e quindi dovrebbe essere il più efficiente possibile.</w:t>
      </w:r>
    </w:p>
    <w:p w14:paraId="4798BF28" w14:textId="779E6CE9" w:rsidR="000E188B" w:rsidRPr="000A70E5" w:rsidRDefault="000E188B" w:rsidP="003C21C4">
      <w:pPr>
        <w:rPr>
          <w:lang w:val="it-IT"/>
        </w:rPr>
      </w:pPr>
    </w:p>
    <w:p w14:paraId="693AD8E9" w14:textId="77777777" w:rsidR="000A70E5" w:rsidRPr="000A70E5" w:rsidRDefault="000A70E5" w:rsidP="000A70E5">
      <w:pPr>
        <w:rPr>
          <w:lang w:val="it-IT"/>
        </w:rPr>
      </w:pPr>
      <w:r w:rsidRPr="000A70E5">
        <w:rPr>
          <w:lang w:val="it-IT"/>
        </w:rPr>
        <w:t>Per quanto possibile ci impegnammo a:</w:t>
      </w:r>
    </w:p>
    <w:p w14:paraId="4FE5AE5F" w14:textId="77777777" w:rsidR="003C21C4" w:rsidRPr="000A70E5" w:rsidRDefault="003C21C4" w:rsidP="003C21C4">
      <w:pPr>
        <w:rPr>
          <w:sz w:val="10"/>
          <w:szCs w:val="10"/>
          <w:lang w:val="it-IT"/>
        </w:rPr>
      </w:pPr>
    </w:p>
    <w:p w14:paraId="165F1427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Effettuare possibilmente le consegne con un mezzo di trasporto alternativo, ad esempio la bicicletta, i veicoli elettrici o ibridi.</w:t>
      </w:r>
    </w:p>
    <w:p w14:paraId="5894E6F2" w14:textId="77777777" w:rsidR="004D2523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Per quanto riguarda i mezzi pesanti e leggeri a benzina, preferire i veicoli conformi almeno alla norma Euro 5.</w:t>
      </w:r>
    </w:p>
    <w:p w14:paraId="0DD58CCF" w14:textId="286EBDC9" w:rsidR="000813C0" w:rsidRPr="000A70E5" w:rsidRDefault="004D2523" w:rsidP="004D2523">
      <w:pPr>
        <w:pStyle w:val="Listenabsatz"/>
        <w:numPr>
          <w:ilvl w:val="0"/>
          <w:numId w:val="9"/>
        </w:numPr>
        <w:rPr>
          <w:color w:val="000000" w:themeColor="text1"/>
          <w:lang w:val="it-IT"/>
        </w:rPr>
      </w:pPr>
      <w:r w:rsidRPr="000A70E5">
        <w:rPr>
          <w:color w:val="000000" w:themeColor="text1"/>
          <w:lang w:val="it-IT"/>
        </w:rPr>
        <w:t>Impostare un piano per ottimizzare i percorsi, tenere conto del carico trasportato e preferire percorsi di consegna brevi.</w:t>
      </w:r>
    </w:p>
    <w:sectPr w:rsidR="000813C0" w:rsidRPr="000A70E5" w:rsidSect="00E9685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417" w:left="135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5A13" w14:textId="77777777" w:rsidR="006E09AE" w:rsidRDefault="006E09AE" w:rsidP="00830227">
      <w:r>
        <w:separator/>
      </w:r>
    </w:p>
  </w:endnote>
  <w:endnote w:type="continuationSeparator" w:id="0">
    <w:p w14:paraId="0B30DAC3" w14:textId="77777777" w:rsidR="006E09AE" w:rsidRDefault="006E09AE" w:rsidP="0083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925828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B81CF7F" w14:textId="77777777" w:rsidR="003B3A21" w:rsidRDefault="003B3A21" w:rsidP="00FE011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E0217F9" w14:textId="77777777" w:rsidR="003B3A21" w:rsidRDefault="003B3A21" w:rsidP="00830227">
    <w:pPr>
      <w:pStyle w:val="Fuzeile"/>
      <w:ind w:right="360"/>
    </w:pPr>
  </w:p>
  <w:p w14:paraId="26A647F8" w14:textId="77777777" w:rsidR="003B3A21" w:rsidRDefault="003B3A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6279242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27A22CA" w14:textId="6DACC119" w:rsidR="003B3A21" w:rsidRDefault="003B3A21" w:rsidP="00FE011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8158A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3D414B56" w14:textId="77777777" w:rsidR="003B3A21" w:rsidRDefault="003B3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4675D" w14:textId="77777777" w:rsidR="006E09AE" w:rsidRDefault="006E09AE" w:rsidP="00830227">
      <w:r>
        <w:separator/>
      </w:r>
    </w:p>
  </w:footnote>
  <w:footnote w:type="continuationSeparator" w:id="0">
    <w:p w14:paraId="315FBE78" w14:textId="77777777" w:rsidR="006E09AE" w:rsidRDefault="006E09AE" w:rsidP="00830227">
      <w:r>
        <w:continuationSeparator/>
      </w:r>
    </w:p>
  </w:footnote>
  <w:footnote w:id="1">
    <w:p w14:paraId="0BEDC4C5" w14:textId="77777777" w:rsidR="003B3A21" w:rsidRPr="0086698B" w:rsidRDefault="003B3A21" w:rsidP="009E799F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863E4D">
        <w:rPr>
          <w:lang w:val="fr-FR"/>
        </w:rPr>
        <w:t xml:space="preserve"> meschoixenvironnement.ch</w:t>
      </w:r>
    </w:p>
  </w:footnote>
  <w:footnote w:id="2">
    <w:p w14:paraId="391CF3BC" w14:textId="77777777" w:rsidR="004D2523" w:rsidRPr="005147F4" w:rsidRDefault="004D2523" w:rsidP="004D2523">
      <w:pPr>
        <w:pStyle w:val="Funotentext"/>
        <w:rPr>
          <w:sz w:val="20"/>
          <w:lang w:val="it-CH"/>
        </w:rPr>
      </w:pPr>
      <w:r w:rsidRPr="005147F4">
        <w:rPr>
          <w:rStyle w:val="Funotenzeichen"/>
          <w:sz w:val="20"/>
        </w:rPr>
        <w:footnoteRef/>
      </w:r>
      <w:r w:rsidRPr="005147F4">
        <w:rPr>
          <w:sz w:val="20"/>
          <w:lang w:val="it-CH"/>
        </w:rPr>
        <w:t xml:space="preserve"> </w:t>
      </w:r>
      <w:r>
        <w:rPr>
          <w:sz w:val="20"/>
          <w:lang w:val="it-CH"/>
        </w:rPr>
        <w:t>P</w:t>
      </w:r>
      <w:r w:rsidRPr="005147F4">
        <w:rPr>
          <w:sz w:val="20"/>
          <w:lang w:val="it-CH"/>
        </w:rPr>
        <w:t>rodotti non coltivabili in S</w:t>
      </w:r>
      <w:r>
        <w:rPr>
          <w:sz w:val="20"/>
          <w:lang w:val="it-CH"/>
        </w:rPr>
        <w:t>vizzera, compresi i succhi.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283A" w14:textId="478A3013" w:rsidR="003B3A21" w:rsidRDefault="003B3A21">
    <w:pPr>
      <w:pStyle w:val="Kopfzeile"/>
    </w:pPr>
  </w:p>
  <w:p w14:paraId="3BFD84B5" w14:textId="77777777" w:rsidR="003B3A21" w:rsidRDefault="003B3A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9D237" w14:textId="1B631EFF" w:rsidR="003B3A21" w:rsidRDefault="003B3A21">
    <w:pPr>
      <w:pStyle w:val="Kopfzeile"/>
    </w:pPr>
  </w:p>
  <w:p w14:paraId="241405AE" w14:textId="77777777" w:rsidR="003B3A21" w:rsidRDefault="003B3A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53E"/>
    <w:multiLevelType w:val="hybridMultilevel"/>
    <w:tmpl w:val="D32CF170"/>
    <w:lvl w:ilvl="0" w:tplc="A9DCC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E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373F"/>
    <w:multiLevelType w:val="hybridMultilevel"/>
    <w:tmpl w:val="4D32E3A8"/>
    <w:lvl w:ilvl="0" w:tplc="A862216A">
      <w:numFmt w:val="bullet"/>
      <w:lvlText w:val="-"/>
      <w:lvlJc w:val="left"/>
      <w:pPr>
        <w:ind w:left="720" w:hanging="360"/>
      </w:pPr>
      <w:rPr>
        <w:rFonts w:ascii="Foco Light" w:eastAsiaTheme="minorHAnsi" w:hAnsi="Foc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704"/>
    <w:multiLevelType w:val="hybridMultilevel"/>
    <w:tmpl w:val="FF54E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1E11"/>
    <w:multiLevelType w:val="hybridMultilevel"/>
    <w:tmpl w:val="758AC348"/>
    <w:lvl w:ilvl="0" w:tplc="A9DCC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E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35A87"/>
    <w:multiLevelType w:val="hybridMultilevel"/>
    <w:tmpl w:val="83D4BFE8"/>
    <w:lvl w:ilvl="0" w:tplc="A862216A">
      <w:numFmt w:val="bullet"/>
      <w:lvlText w:val="-"/>
      <w:lvlJc w:val="left"/>
      <w:pPr>
        <w:ind w:left="720" w:hanging="360"/>
      </w:pPr>
      <w:rPr>
        <w:rFonts w:ascii="Foco Light" w:eastAsiaTheme="minorHAnsi" w:hAnsi="Foc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1190"/>
    <w:multiLevelType w:val="hybridMultilevel"/>
    <w:tmpl w:val="D9C62EE8"/>
    <w:lvl w:ilvl="0" w:tplc="A9DCC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E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C559C"/>
    <w:multiLevelType w:val="hybridMultilevel"/>
    <w:tmpl w:val="FF4A85BC"/>
    <w:lvl w:ilvl="0" w:tplc="A862216A">
      <w:numFmt w:val="bullet"/>
      <w:lvlText w:val="-"/>
      <w:lvlJc w:val="left"/>
      <w:pPr>
        <w:ind w:left="720" w:hanging="360"/>
      </w:pPr>
      <w:rPr>
        <w:rFonts w:ascii="Foco Light" w:eastAsiaTheme="minorHAnsi" w:hAnsi="Foc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A3667"/>
    <w:multiLevelType w:val="hybridMultilevel"/>
    <w:tmpl w:val="81F04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4ED4"/>
    <w:multiLevelType w:val="hybridMultilevel"/>
    <w:tmpl w:val="D8FE2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D90"/>
    <w:multiLevelType w:val="hybridMultilevel"/>
    <w:tmpl w:val="ED36B76A"/>
    <w:lvl w:ilvl="0" w:tplc="A862216A">
      <w:numFmt w:val="bullet"/>
      <w:lvlText w:val="-"/>
      <w:lvlJc w:val="left"/>
      <w:pPr>
        <w:ind w:left="720" w:hanging="360"/>
      </w:pPr>
      <w:rPr>
        <w:rFonts w:ascii="Foco Light" w:eastAsiaTheme="minorHAnsi" w:hAnsi="Foc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9377C"/>
    <w:multiLevelType w:val="hybridMultilevel"/>
    <w:tmpl w:val="A352F91A"/>
    <w:lvl w:ilvl="0" w:tplc="A9DCC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E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D5B01"/>
    <w:multiLevelType w:val="hybridMultilevel"/>
    <w:tmpl w:val="F7368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56F0"/>
    <w:multiLevelType w:val="hybridMultilevel"/>
    <w:tmpl w:val="E4FADD6E"/>
    <w:lvl w:ilvl="0" w:tplc="A9DCC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E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F64B0"/>
    <w:multiLevelType w:val="hybridMultilevel"/>
    <w:tmpl w:val="FE047420"/>
    <w:lvl w:ilvl="0" w:tplc="A862216A">
      <w:numFmt w:val="bullet"/>
      <w:lvlText w:val="-"/>
      <w:lvlJc w:val="left"/>
      <w:pPr>
        <w:ind w:left="720" w:hanging="360"/>
      </w:pPr>
      <w:rPr>
        <w:rFonts w:ascii="Foco Light" w:eastAsiaTheme="minorHAnsi" w:hAnsi="Foc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01F5A"/>
    <w:multiLevelType w:val="hybridMultilevel"/>
    <w:tmpl w:val="D578E346"/>
    <w:lvl w:ilvl="0" w:tplc="A862216A">
      <w:numFmt w:val="bullet"/>
      <w:lvlText w:val="-"/>
      <w:lvlJc w:val="left"/>
      <w:pPr>
        <w:ind w:left="720" w:hanging="360"/>
      </w:pPr>
      <w:rPr>
        <w:rFonts w:ascii="Foco Light" w:eastAsiaTheme="minorHAnsi" w:hAnsi="Foc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20F48"/>
    <w:multiLevelType w:val="hybridMultilevel"/>
    <w:tmpl w:val="BBBA59AC"/>
    <w:lvl w:ilvl="0" w:tplc="A9DCC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E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86F47"/>
    <w:multiLevelType w:val="hybridMultilevel"/>
    <w:tmpl w:val="6ECAA52A"/>
    <w:lvl w:ilvl="0" w:tplc="A862216A">
      <w:numFmt w:val="bullet"/>
      <w:lvlText w:val="-"/>
      <w:lvlJc w:val="left"/>
      <w:pPr>
        <w:ind w:left="720" w:hanging="360"/>
      </w:pPr>
      <w:rPr>
        <w:rFonts w:ascii="Foco Light" w:eastAsiaTheme="minorHAnsi" w:hAnsi="Foc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72355"/>
    <w:multiLevelType w:val="hybridMultilevel"/>
    <w:tmpl w:val="7D186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011C2"/>
    <w:multiLevelType w:val="hybridMultilevel"/>
    <w:tmpl w:val="E916995A"/>
    <w:lvl w:ilvl="0" w:tplc="A862216A">
      <w:numFmt w:val="bullet"/>
      <w:lvlText w:val="-"/>
      <w:lvlJc w:val="left"/>
      <w:pPr>
        <w:ind w:left="720" w:hanging="360"/>
      </w:pPr>
      <w:rPr>
        <w:rFonts w:ascii="Foco Light" w:eastAsiaTheme="minorHAnsi" w:hAnsi="Foc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52931"/>
    <w:multiLevelType w:val="hybridMultilevel"/>
    <w:tmpl w:val="0B08A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15E1A"/>
    <w:multiLevelType w:val="hybridMultilevel"/>
    <w:tmpl w:val="90C0B05C"/>
    <w:lvl w:ilvl="0" w:tplc="A9DCC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E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50645"/>
    <w:multiLevelType w:val="hybridMultilevel"/>
    <w:tmpl w:val="860C1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10ED3"/>
    <w:multiLevelType w:val="hybridMultilevel"/>
    <w:tmpl w:val="CA886D3C"/>
    <w:lvl w:ilvl="0" w:tplc="A862216A">
      <w:numFmt w:val="bullet"/>
      <w:lvlText w:val="-"/>
      <w:lvlJc w:val="left"/>
      <w:pPr>
        <w:ind w:left="720" w:hanging="360"/>
      </w:pPr>
      <w:rPr>
        <w:rFonts w:ascii="Foco Light" w:eastAsiaTheme="minorHAnsi" w:hAnsi="Foc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30E7A"/>
    <w:multiLevelType w:val="hybridMultilevel"/>
    <w:tmpl w:val="3F948448"/>
    <w:lvl w:ilvl="0" w:tplc="A862216A">
      <w:numFmt w:val="bullet"/>
      <w:lvlText w:val="-"/>
      <w:lvlJc w:val="left"/>
      <w:pPr>
        <w:ind w:left="720" w:hanging="360"/>
      </w:pPr>
      <w:rPr>
        <w:rFonts w:ascii="Foco Light" w:eastAsiaTheme="minorHAnsi" w:hAnsi="Foc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83AF0"/>
    <w:multiLevelType w:val="hybridMultilevel"/>
    <w:tmpl w:val="A9EE7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4595D"/>
    <w:multiLevelType w:val="hybridMultilevel"/>
    <w:tmpl w:val="2D6AB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0501E"/>
    <w:multiLevelType w:val="hybridMultilevel"/>
    <w:tmpl w:val="B5BEE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335E2"/>
    <w:multiLevelType w:val="hybridMultilevel"/>
    <w:tmpl w:val="1C00AAD0"/>
    <w:lvl w:ilvl="0" w:tplc="CDC8F900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43885"/>
    <w:multiLevelType w:val="hybridMultilevel"/>
    <w:tmpl w:val="0B88D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C0E54"/>
    <w:multiLevelType w:val="hybridMultilevel"/>
    <w:tmpl w:val="C3A641B4"/>
    <w:lvl w:ilvl="0" w:tplc="A9DCC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E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21CCD"/>
    <w:multiLevelType w:val="hybridMultilevel"/>
    <w:tmpl w:val="3B4E9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95CED"/>
    <w:multiLevelType w:val="hybridMultilevel"/>
    <w:tmpl w:val="6B340794"/>
    <w:lvl w:ilvl="0" w:tplc="A862216A">
      <w:numFmt w:val="bullet"/>
      <w:lvlText w:val="-"/>
      <w:lvlJc w:val="left"/>
      <w:pPr>
        <w:ind w:left="720" w:hanging="360"/>
      </w:pPr>
      <w:rPr>
        <w:rFonts w:ascii="Foco Light" w:eastAsiaTheme="minorHAnsi" w:hAnsi="Foc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C0D5E"/>
    <w:multiLevelType w:val="hybridMultilevel"/>
    <w:tmpl w:val="FF1432C6"/>
    <w:lvl w:ilvl="0" w:tplc="A862216A">
      <w:numFmt w:val="bullet"/>
      <w:lvlText w:val="-"/>
      <w:lvlJc w:val="left"/>
      <w:pPr>
        <w:ind w:left="720" w:hanging="360"/>
      </w:pPr>
      <w:rPr>
        <w:rFonts w:ascii="Foco Light" w:eastAsiaTheme="minorHAnsi" w:hAnsi="Foc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D4250"/>
    <w:multiLevelType w:val="hybridMultilevel"/>
    <w:tmpl w:val="8188D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70AA6"/>
    <w:multiLevelType w:val="hybridMultilevel"/>
    <w:tmpl w:val="71541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60751"/>
    <w:multiLevelType w:val="multilevel"/>
    <w:tmpl w:val="040C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2936C44"/>
    <w:multiLevelType w:val="hybridMultilevel"/>
    <w:tmpl w:val="65D054EC"/>
    <w:lvl w:ilvl="0" w:tplc="A9DCC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E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A568D"/>
    <w:multiLevelType w:val="hybridMultilevel"/>
    <w:tmpl w:val="59F482BA"/>
    <w:lvl w:ilvl="0" w:tplc="A9DCC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E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22BFB"/>
    <w:multiLevelType w:val="hybridMultilevel"/>
    <w:tmpl w:val="03A4FA8E"/>
    <w:lvl w:ilvl="0" w:tplc="A9DCC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E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35C0C"/>
    <w:multiLevelType w:val="hybridMultilevel"/>
    <w:tmpl w:val="0EC4C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A3417"/>
    <w:multiLevelType w:val="hybridMultilevel"/>
    <w:tmpl w:val="9E907890"/>
    <w:lvl w:ilvl="0" w:tplc="7F7AE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25D52"/>
    <w:multiLevelType w:val="hybridMultilevel"/>
    <w:tmpl w:val="C9067DF0"/>
    <w:lvl w:ilvl="0" w:tplc="A862216A">
      <w:numFmt w:val="bullet"/>
      <w:lvlText w:val="-"/>
      <w:lvlJc w:val="left"/>
      <w:pPr>
        <w:ind w:left="720" w:hanging="360"/>
      </w:pPr>
      <w:rPr>
        <w:rFonts w:ascii="Foco Light" w:eastAsiaTheme="minorHAnsi" w:hAnsi="Foc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43F0A"/>
    <w:multiLevelType w:val="hybridMultilevel"/>
    <w:tmpl w:val="4EC8CAFC"/>
    <w:lvl w:ilvl="0" w:tplc="A9DCC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E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D79F7"/>
    <w:multiLevelType w:val="hybridMultilevel"/>
    <w:tmpl w:val="88603E88"/>
    <w:lvl w:ilvl="0" w:tplc="A862216A">
      <w:numFmt w:val="bullet"/>
      <w:lvlText w:val="-"/>
      <w:lvlJc w:val="left"/>
      <w:pPr>
        <w:ind w:left="720" w:hanging="360"/>
      </w:pPr>
      <w:rPr>
        <w:rFonts w:ascii="Foco Light" w:eastAsiaTheme="minorHAnsi" w:hAnsi="Foc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932E1B"/>
    <w:multiLevelType w:val="hybridMultilevel"/>
    <w:tmpl w:val="DC2E8260"/>
    <w:lvl w:ilvl="0" w:tplc="A9DCC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E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7A2FC9"/>
    <w:multiLevelType w:val="hybridMultilevel"/>
    <w:tmpl w:val="C896B946"/>
    <w:lvl w:ilvl="0" w:tplc="B21677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30868"/>
    <w:multiLevelType w:val="hybridMultilevel"/>
    <w:tmpl w:val="41C0AF94"/>
    <w:lvl w:ilvl="0" w:tplc="A9DCC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E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7403E"/>
    <w:multiLevelType w:val="hybridMultilevel"/>
    <w:tmpl w:val="2C46D038"/>
    <w:lvl w:ilvl="0" w:tplc="A862216A">
      <w:numFmt w:val="bullet"/>
      <w:lvlText w:val="-"/>
      <w:lvlJc w:val="left"/>
      <w:pPr>
        <w:ind w:left="720" w:hanging="360"/>
      </w:pPr>
      <w:rPr>
        <w:rFonts w:ascii="Foco Light" w:eastAsiaTheme="minorHAnsi" w:hAnsi="Foc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E29D2"/>
    <w:multiLevelType w:val="hybridMultilevel"/>
    <w:tmpl w:val="5030D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1E308B"/>
    <w:multiLevelType w:val="hybridMultilevel"/>
    <w:tmpl w:val="F9EE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45"/>
  </w:num>
  <w:num w:numId="4">
    <w:abstractNumId w:val="17"/>
  </w:num>
  <w:num w:numId="5">
    <w:abstractNumId w:val="23"/>
  </w:num>
  <w:num w:numId="6">
    <w:abstractNumId w:val="40"/>
  </w:num>
  <w:num w:numId="7">
    <w:abstractNumId w:val="47"/>
  </w:num>
  <w:num w:numId="8">
    <w:abstractNumId w:val="18"/>
  </w:num>
  <w:num w:numId="9">
    <w:abstractNumId w:val="21"/>
  </w:num>
  <w:num w:numId="10">
    <w:abstractNumId w:val="27"/>
  </w:num>
  <w:num w:numId="11">
    <w:abstractNumId w:val="14"/>
  </w:num>
  <w:num w:numId="12">
    <w:abstractNumId w:val="22"/>
  </w:num>
  <w:num w:numId="13">
    <w:abstractNumId w:val="1"/>
  </w:num>
  <w:num w:numId="14">
    <w:abstractNumId w:val="9"/>
  </w:num>
  <w:num w:numId="15">
    <w:abstractNumId w:val="13"/>
  </w:num>
  <w:num w:numId="16">
    <w:abstractNumId w:val="43"/>
  </w:num>
  <w:num w:numId="17">
    <w:abstractNumId w:val="31"/>
  </w:num>
  <w:num w:numId="18">
    <w:abstractNumId w:val="41"/>
  </w:num>
  <w:num w:numId="19">
    <w:abstractNumId w:val="32"/>
  </w:num>
  <w:num w:numId="20">
    <w:abstractNumId w:val="6"/>
  </w:num>
  <w:num w:numId="21">
    <w:abstractNumId w:val="4"/>
  </w:num>
  <w:num w:numId="22">
    <w:abstractNumId w:val="16"/>
  </w:num>
  <w:num w:numId="23">
    <w:abstractNumId w:val="46"/>
  </w:num>
  <w:num w:numId="24">
    <w:abstractNumId w:val="37"/>
  </w:num>
  <w:num w:numId="25">
    <w:abstractNumId w:val="15"/>
  </w:num>
  <w:num w:numId="26">
    <w:abstractNumId w:val="5"/>
  </w:num>
  <w:num w:numId="27">
    <w:abstractNumId w:val="29"/>
  </w:num>
  <w:num w:numId="28">
    <w:abstractNumId w:val="42"/>
  </w:num>
  <w:num w:numId="29">
    <w:abstractNumId w:val="10"/>
  </w:num>
  <w:num w:numId="30">
    <w:abstractNumId w:val="38"/>
  </w:num>
  <w:num w:numId="31">
    <w:abstractNumId w:val="44"/>
  </w:num>
  <w:num w:numId="32">
    <w:abstractNumId w:val="3"/>
  </w:num>
  <w:num w:numId="33">
    <w:abstractNumId w:val="0"/>
  </w:num>
  <w:num w:numId="34">
    <w:abstractNumId w:val="20"/>
  </w:num>
  <w:num w:numId="35">
    <w:abstractNumId w:val="36"/>
  </w:num>
  <w:num w:numId="36">
    <w:abstractNumId w:val="12"/>
  </w:num>
  <w:num w:numId="37">
    <w:abstractNumId w:val="48"/>
  </w:num>
  <w:num w:numId="38">
    <w:abstractNumId w:val="7"/>
  </w:num>
  <w:num w:numId="39">
    <w:abstractNumId w:val="30"/>
  </w:num>
  <w:num w:numId="40">
    <w:abstractNumId w:val="39"/>
  </w:num>
  <w:num w:numId="41">
    <w:abstractNumId w:val="8"/>
  </w:num>
  <w:num w:numId="42">
    <w:abstractNumId w:val="26"/>
  </w:num>
  <w:num w:numId="43">
    <w:abstractNumId w:val="11"/>
  </w:num>
  <w:num w:numId="44">
    <w:abstractNumId w:val="49"/>
  </w:num>
  <w:num w:numId="45">
    <w:abstractNumId w:val="28"/>
  </w:num>
  <w:num w:numId="46">
    <w:abstractNumId w:val="24"/>
  </w:num>
  <w:num w:numId="47">
    <w:abstractNumId w:val="34"/>
  </w:num>
  <w:num w:numId="48">
    <w:abstractNumId w:val="19"/>
  </w:num>
  <w:num w:numId="49">
    <w:abstractNumId w:val="25"/>
  </w:num>
  <w:num w:numId="50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27"/>
    <w:rsid w:val="000131BB"/>
    <w:rsid w:val="00016702"/>
    <w:rsid w:val="00051600"/>
    <w:rsid w:val="00056183"/>
    <w:rsid w:val="00060F81"/>
    <w:rsid w:val="00064628"/>
    <w:rsid w:val="000813C0"/>
    <w:rsid w:val="000843FA"/>
    <w:rsid w:val="00085DF1"/>
    <w:rsid w:val="000A70E5"/>
    <w:rsid w:val="000B175F"/>
    <w:rsid w:val="000E188B"/>
    <w:rsid w:val="000E23DE"/>
    <w:rsid w:val="000E2AE8"/>
    <w:rsid w:val="000E340C"/>
    <w:rsid w:val="000E5453"/>
    <w:rsid w:val="00102BC3"/>
    <w:rsid w:val="00144941"/>
    <w:rsid w:val="00153270"/>
    <w:rsid w:val="00156F2B"/>
    <w:rsid w:val="00166F4D"/>
    <w:rsid w:val="00171C15"/>
    <w:rsid w:val="001873D8"/>
    <w:rsid w:val="001A37BD"/>
    <w:rsid w:val="001A70E4"/>
    <w:rsid w:val="001D64B7"/>
    <w:rsid w:val="00202A6B"/>
    <w:rsid w:val="00205FDB"/>
    <w:rsid w:val="0023154B"/>
    <w:rsid w:val="00263950"/>
    <w:rsid w:val="002827FB"/>
    <w:rsid w:val="00287C66"/>
    <w:rsid w:val="002955D0"/>
    <w:rsid w:val="002C28A8"/>
    <w:rsid w:val="002F6FB6"/>
    <w:rsid w:val="0030720A"/>
    <w:rsid w:val="003330ED"/>
    <w:rsid w:val="00340767"/>
    <w:rsid w:val="0038479C"/>
    <w:rsid w:val="0039403B"/>
    <w:rsid w:val="003B3A21"/>
    <w:rsid w:val="003C21C4"/>
    <w:rsid w:val="003C2BAA"/>
    <w:rsid w:val="003D007F"/>
    <w:rsid w:val="003E1E8E"/>
    <w:rsid w:val="00481DB2"/>
    <w:rsid w:val="004938CE"/>
    <w:rsid w:val="004B459B"/>
    <w:rsid w:val="004D2523"/>
    <w:rsid w:val="004E47A0"/>
    <w:rsid w:val="004E7E30"/>
    <w:rsid w:val="00500736"/>
    <w:rsid w:val="00505A7C"/>
    <w:rsid w:val="00535701"/>
    <w:rsid w:val="00586D5D"/>
    <w:rsid w:val="005A1045"/>
    <w:rsid w:val="005A2645"/>
    <w:rsid w:val="005A6126"/>
    <w:rsid w:val="006005C8"/>
    <w:rsid w:val="006109A0"/>
    <w:rsid w:val="006128F7"/>
    <w:rsid w:val="00612A53"/>
    <w:rsid w:val="00632BF6"/>
    <w:rsid w:val="00695870"/>
    <w:rsid w:val="00697FC3"/>
    <w:rsid w:val="006C320F"/>
    <w:rsid w:val="006C40EB"/>
    <w:rsid w:val="006E09AE"/>
    <w:rsid w:val="006E4F8A"/>
    <w:rsid w:val="006F2FAC"/>
    <w:rsid w:val="00750B6E"/>
    <w:rsid w:val="007609BD"/>
    <w:rsid w:val="007A6B34"/>
    <w:rsid w:val="007D554D"/>
    <w:rsid w:val="007E0875"/>
    <w:rsid w:val="00830227"/>
    <w:rsid w:val="00843A2D"/>
    <w:rsid w:val="00852035"/>
    <w:rsid w:val="00855E4E"/>
    <w:rsid w:val="00863E4D"/>
    <w:rsid w:val="0086698B"/>
    <w:rsid w:val="00871BFA"/>
    <w:rsid w:val="0087726A"/>
    <w:rsid w:val="0087742F"/>
    <w:rsid w:val="008878B6"/>
    <w:rsid w:val="008A398A"/>
    <w:rsid w:val="008A679E"/>
    <w:rsid w:val="008B5A7B"/>
    <w:rsid w:val="008E08A6"/>
    <w:rsid w:val="008E7C57"/>
    <w:rsid w:val="008F610B"/>
    <w:rsid w:val="00903CC4"/>
    <w:rsid w:val="00931C85"/>
    <w:rsid w:val="009444BA"/>
    <w:rsid w:val="00954684"/>
    <w:rsid w:val="009933F5"/>
    <w:rsid w:val="00993B87"/>
    <w:rsid w:val="009A6A31"/>
    <w:rsid w:val="009B6C75"/>
    <w:rsid w:val="009C2BE8"/>
    <w:rsid w:val="009E799F"/>
    <w:rsid w:val="00A1532B"/>
    <w:rsid w:val="00A26B0D"/>
    <w:rsid w:val="00A301C2"/>
    <w:rsid w:val="00A3711A"/>
    <w:rsid w:val="00A5651B"/>
    <w:rsid w:val="00A72771"/>
    <w:rsid w:val="00A949DF"/>
    <w:rsid w:val="00A94F10"/>
    <w:rsid w:val="00A971F7"/>
    <w:rsid w:val="00AA0301"/>
    <w:rsid w:val="00AB7ACA"/>
    <w:rsid w:val="00AC3FBD"/>
    <w:rsid w:val="00AD1B44"/>
    <w:rsid w:val="00B10939"/>
    <w:rsid w:val="00B31DC3"/>
    <w:rsid w:val="00B3218F"/>
    <w:rsid w:val="00B32630"/>
    <w:rsid w:val="00B63AD3"/>
    <w:rsid w:val="00B71F42"/>
    <w:rsid w:val="00B72D95"/>
    <w:rsid w:val="00B739E8"/>
    <w:rsid w:val="00BA63C5"/>
    <w:rsid w:val="00BA7E65"/>
    <w:rsid w:val="00BD5761"/>
    <w:rsid w:val="00BE1F32"/>
    <w:rsid w:val="00C24FF7"/>
    <w:rsid w:val="00C27B9A"/>
    <w:rsid w:val="00C60838"/>
    <w:rsid w:val="00C66BCC"/>
    <w:rsid w:val="00C729D0"/>
    <w:rsid w:val="00C76905"/>
    <w:rsid w:val="00C84291"/>
    <w:rsid w:val="00C8632C"/>
    <w:rsid w:val="00C90F44"/>
    <w:rsid w:val="00CA5164"/>
    <w:rsid w:val="00CA5D2F"/>
    <w:rsid w:val="00CB4E8E"/>
    <w:rsid w:val="00CC0905"/>
    <w:rsid w:val="00CD2BEB"/>
    <w:rsid w:val="00CE1FF2"/>
    <w:rsid w:val="00D270B9"/>
    <w:rsid w:val="00D33189"/>
    <w:rsid w:val="00D42FC7"/>
    <w:rsid w:val="00D43012"/>
    <w:rsid w:val="00D46DA9"/>
    <w:rsid w:val="00D6128D"/>
    <w:rsid w:val="00D64E88"/>
    <w:rsid w:val="00DF3D60"/>
    <w:rsid w:val="00E14E2F"/>
    <w:rsid w:val="00E46B53"/>
    <w:rsid w:val="00E517F8"/>
    <w:rsid w:val="00E64A3D"/>
    <w:rsid w:val="00E80499"/>
    <w:rsid w:val="00E8158A"/>
    <w:rsid w:val="00E91A91"/>
    <w:rsid w:val="00E96851"/>
    <w:rsid w:val="00EC046C"/>
    <w:rsid w:val="00ED23C8"/>
    <w:rsid w:val="00F0528E"/>
    <w:rsid w:val="00F12878"/>
    <w:rsid w:val="00F6553C"/>
    <w:rsid w:val="00F70C46"/>
    <w:rsid w:val="00F730DF"/>
    <w:rsid w:val="00F87EC6"/>
    <w:rsid w:val="00F97B63"/>
    <w:rsid w:val="00F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71C0590"/>
  <w15:docId w15:val="{36EA11CB-42AB-4F46-81A2-72DAB3B7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188B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30227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122372"/>
      <w:sz w:val="32"/>
      <w:szCs w:val="32"/>
      <w:lang w:val="fr-FR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0227"/>
    <w:pPr>
      <w:keepNext/>
      <w:keepLines/>
      <w:numPr>
        <w:ilvl w:val="1"/>
        <w:numId w:val="1"/>
      </w:numPr>
      <w:spacing w:before="280" w:after="2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fr-FR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022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b/>
      <w:i/>
      <w:color w:val="000000" w:themeColor="text1"/>
      <w:lang w:val="fr-FR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3022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  <w:lang w:val="fr-FR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022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fr-FR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022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val="fr-FR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022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fr-FR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022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022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302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0227"/>
  </w:style>
  <w:style w:type="character" w:styleId="Seitenzahl">
    <w:name w:val="page number"/>
    <w:basedOn w:val="Absatz-Standardschriftart"/>
    <w:uiPriority w:val="99"/>
    <w:semiHidden/>
    <w:unhideWhenUsed/>
    <w:rsid w:val="00830227"/>
  </w:style>
  <w:style w:type="paragraph" w:styleId="Kopfzeile">
    <w:name w:val="header"/>
    <w:basedOn w:val="Standard"/>
    <w:link w:val="KopfzeileZchn"/>
    <w:uiPriority w:val="99"/>
    <w:unhideWhenUsed/>
    <w:rsid w:val="008302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0227"/>
  </w:style>
  <w:style w:type="character" w:customStyle="1" w:styleId="berschrift1Zchn">
    <w:name w:val="Überschrift 1 Zchn"/>
    <w:basedOn w:val="Absatz-Standardschriftart"/>
    <w:link w:val="berschrift1"/>
    <w:uiPriority w:val="9"/>
    <w:rsid w:val="00830227"/>
    <w:rPr>
      <w:rFonts w:asciiTheme="majorHAnsi" w:eastAsiaTheme="majorEastAsia" w:hAnsiTheme="majorHAnsi" w:cstheme="majorBidi"/>
      <w:color w:val="122372"/>
      <w:sz w:val="32"/>
      <w:szCs w:val="32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0227"/>
    <w:rPr>
      <w:rFonts w:asciiTheme="majorHAnsi" w:eastAsiaTheme="majorEastAsia" w:hAnsiTheme="majorHAnsi" w:cstheme="majorBidi"/>
      <w:b/>
      <w:color w:val="000000" w:themeColor="text1"/>
      <w:sz w:val="26"/>
      <w:szCs w:val="26"/>
      <w:lang w:val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0227"/>
    <w:rPr>
      <w:rFonts w:asciiTheme="majorHAnsi" w:eastAsiaTheme="majorEastAsia" w:hAnsiTheme="majorHAnsi" w:cstheme="majorBidi"/>
      <w:b/>
      <w:i/>
      <w:color w:val="000000" w:themeColor="text1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30227"/>
    <w:rPr>
      <w:rFonts w:asciiTheme="majorHAnsi" w:eastAsiaTheme="majorEastAsia" w:hAnsiTheme="majorHAnsi" w:cstheme="majorBidi"/>
      <w:i/>
      <w:iCs/>
      <w:color w:val="000000" w:themeColor="text1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0227"/>
    <w:rPr>
      <w:rFonts w:asciiTheme="majorHAnsi" w:eastAsiaTheme="majorEastAsia" w:hAnsiTheme="majorHAnsi" w:cstheme="majorBidi"/>
      <w:color w:val="2F5496" w:themeColor="accent1" w:themeShade="BF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0227"/>
    <w:rPr>
      <w:rFonts w:asciiTheme="majorHAnsi" w:eastAsiaTheme="majorEastAsia" w:hAnsiTheme="majorHAnsi" w:cstheme="majorBidi"/>
      <w:color w:val="1F3763" w:themeColor="accent1" w:themeShade="7F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0227"/>
    <w:rPr>
      <w:rFonts w:asciiTheme="majorHAnsi" w:eastAsiaTheme="majorEastAsia" w:hAnsiTheme="majorHAnsi" w:cstheme="majorBidi"/>
      <w:i/>
      <w:iCs/>
      <w:color w:val="1F3763" w:themeColor="accent1" w:themeShade="7F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022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02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paragraph" w:styleId="Listenabsatz">
    <w:name w:val="List Paragraph"/>
    <w:basedOn w:val="Standard"/>
    <w:uiPriority w:val="34"/>
    <w:qFormat/>
    <w:rsid w:val="00830227"/>
    <w:pPr>
      <w:ind w:left="720"/>
      <w:contextualSpacing/>
    </w:pPr>
    <w:rPr>
      <w:color w:val="404040" w:themeColor="text1" w:themeTint="BF"/>
      <w:lang w:val="fr-FR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0227"/>
    <w:pPr>
      <w:numPr>
        <w:numId w:val="0"/>
      </w:numPr>
      <w:spacing w:before="480" w:line="276" w:lineRule="auto"/>
      <w:jc w:val="left"/>
      <w:outlineLvl w:val="9"/>
    </w:pPr>
    <w:rPr>
      <w:b/>
      <w:bCs/>
      <w:color w:val="2F5496" w:themeColor="accent1" w:themeShade="BF"/>
      <w:sz w:val="28"/>
      <w:szCs w:val="28"/>
      <w:lang w:val="fr-CH" w:eastAsia="fr-FR"/>
    </w:rPr>
  </w:style>
  <w:style w:type="paragraph" w:styleId="Verzeichnis1">
    <w:name w:val="toc 1"/>
    <w:basedOn w:val="Standard"/>
    <w:next w:val="Standard"/>
    <w:autoRedefine/>
    <w:uiPriority w:val="39"/>
    <w:unhideWhenUsed/>
    <w:rsid w:val="00830227"/>
    <w:pPr>
      <w:spacing w:before="120"/>
    </w:pPr>
    <w:rPr>
      <w:b/>
      <w:bCs/>
      <w:i/>
      <w:iCs/>
    </w:rPr>
  </w:style>
  <w:style w:type="paragraph" w:styleId="Verzeichnis2">
    <w:name w:val="toc 2"/>
    <w:basedOn w:val="Standard"/>
    <w:next w:val="Standard"/>
    <w:autoRedefine/>
    <w:uiPriority w:val="39"/>
    <w:unhideWhenUsed/>
    <w:rsid w:val="00830227"/>
    <w:pPr>
      <w:spacing w:before="120"/>
      <w:ind w:left="240"/>
    </w:pPr>
    <w:rPr>
      <w:b/>
      <w:bCs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830227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0227"/>
    <w:pPr>
      <w:ind w:left="48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0227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0227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0227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0227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0227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0227"/>
    <w:pPr>
      <w:ind w:left="1920"/>
    </w:pPr>
    <w:rPr>
      <w:sz w:val="20"/>
      <w:szCs w:val="20"/>
    </w:rPr>
  </w:style>
  <w:style w:type="paragraph" w:styleId="berarbeitung">
    <w:name w:val="Revision"/>
    <w:hidden/>
    <w:uiPriority w:val="99"/>
    <w:semiHidden/>
    <w:rsid w:val="00830227"/>
  </w:style>
  <w:style w:type="table" w:styleId="Tabellenraster">
    <w:name w:val="Table Grid"/>
    <w:basedOn w:val="NormaleTabelle"/>
    <w:uiPriority w:val="39"/>
    <w:rsid w:val="00830227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302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0227"/>
    <w:rPr>
      <w:color w:val="404040" w:themeColor="text1" w:themeTint="BF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0227"/>
    <w:rPr>
      <w:color w:val="404040" w:themeColor="text1" w:themeTint="BF"/>
      <w:sz w:val="20"/>
      <w:szCs w:val="20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22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227"/>
    <w:rPr>
      <w:rFonts w:ascii="Times New Roman" w:hAnsi="Times New Roman" w:cs="Times New Roman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0227"/>
    <w:rPr>
      <w:b/>
      <w:bCs/>
      <w:color w:val="auto"/>
      <w:lang w:val="fr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0227"/>
    <w:rPr>
      <w:b/>
      <w:bCs/>
      <w:color w:val="404040" w:themeColor="text1" w:themeTint="BF"/>
      <w:sz w:val="20"/>
      <w:szCs w:val="20"/>
      <w:lang w:val="fr-FR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0E545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E5453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E54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  <w:style w:type="paragraph" w:styleId="Funotentext">
    <w:name w:val="footnote text"/>
    <w:basedOn w:val="Standard"/>
    <w:link w:val="FunotentextZchn"/>
    <w:uiPriority w:val="99"/>
    <w:unhideWhenUsed/>
    <w:rsid w:val="000E5453"/>
    <w:pPr>
      <w:jc w:val="left"/>
    </w:pPr>
    <w:rPr>
      <w:rFonts w:ascii="Calibri" w:hAnsi="Calibri" w:cs="Calibri"/>
      <w:sz w:val="16"/>
      <w:szCs w:val="20"/>
      <w:lang w:val="de-CH" w:eastAsia="de-CH" w:bidi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E5453"/>
    <w:rPr>
      <w:rFonts w:ascii="Calibri" w:hAnsi="Calibri" w:cs="Calibri"/>
      <w:sz w:val="16"/>
      <w:szCs w:val="20"/>
      <w:lang w:val="de-CH" w:eastAsia="de-CH" w:bidi="de-DE"/>
    </w:rPr>
  </w:style>
  <w:style w:type="character" w:styleId="Funotenzeichen">
    <w:name w:val="footnote reference"/>
    <w:basedOn w:val="Absatz-Standardschriftart"/>
    <w:uiPriority w:val="99"/>
    <w:unhideWhenUsed/>
    <w:rsid w:val="000E5453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2C28A8"/>
    <w:rPr>
      <w:b/>
      <w:bCs/>
    </w:rPr>
  </w:style>
  <w:style w:type="character" w:customStyle="1" w:styleId="apple-converted-space">
    <w:name w:val="apple-converted-space"/>
    <w:basedOn w:val="Absatz-Standardschriftart"/>
    <w:rsid w:val="002C28A8"/>
  </w:style>
  <w:style w:type="paragraph" w:customStyle="1" w:styleId="rtejustify">
    <w:name w:val="rtejustify"/>
    <w:basedOn w:val="Standard"/>
    <w:rsid w:val="002C28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  <w:style w:type="paragraph" w:customStyle="1" w:styleId="TableParagraph">
    <w:name w:val="Table Paragraph"/>
    <w:basedOn w:val="Standard"/>
    <w:uiPriority w:val="1"/>
    <w:qFormat/>
    <w:rsid w:val="006E4F8A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0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47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9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4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A42C97-8C44-4502-9F55-6900CA64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2666</Words>
  <Characters>16801</Characters>
  <Application>Microsoft Office Word</Application>
  <DocSecurity>0</DocSecurity>
  <Lines>140</Lines>
  <Paragraphs>38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 La Baume</dc:creator>
  <cp:keywords/>
  <dc:description/>
  <cp:lastModifiedBy>Gäggeler Kaspar BAFU</cp:lastModifiedBy>
  <cp:revision>2</cp:revision>
  <dcterms:created xsi:type="dcterms:W3CDTF">2020-12-07T12:02:00Z</dcterms:created>
  <dcterms:modified xsi:type="dcterms:W3CDTF">2020-12-07T12:02:00Z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755583341</vt:i4>
  </property>
  <property fmtid="{D5CDD505-2E9C-101B-9397-08002B2CF9AE}" pid="3" name="_NewReviewCycle">
    <vt:lpwstr/>
  </property>
  <property fmtid="{D5CDD505-2E9C-101B-9397-08002B2CF9AE}" pid="4" name="_EmailSubject">
    <vt:lpwstr>Charte IT</vt:lpwstr>
  </property>
  <property fmtid="{D5CDD505-2E9C-101B-9397-08002B2CF9AE}" pid="5" name="_AuthorEmail">
    <vt:lpwstr>davide.battaini@etat.ge.ch</vt:lpwstr>
  </property>
  <property fmtid="{D5CDD505-2E9C-101B-9397-08002B2CF9AE}" pid="6" name="_AuthorEmailDisplayName">
    <vt:lpwstr>Battaini Davide (DIP)</vt:lpwstr>
  </property>
  <property fmtid="{D5CDD505-2E9C-101B-9397-08002B2CF9AE}" pid="7" name="_ReviewingToolsShownOnce">
    <vt:lpwstr/>
  </property>
</Properties>
</file>