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043DAA">
        <w:rPr>
          <w:color w:val="B6BDBB"/>
        </w:rPr>
        <w:t>10</w:t>
      </w:r>
      <w:r>
        <w:t xml:space="preserve"> </w:t>
      </w:r>
      <w:r>
        <w:br/>
      </w:r>
      <w:bookmarkEnd w:id="0"/>
      <w:r w:rsidR="00043DAA" w:rsidRPr="00043DAA">
        <w:t>Benutzung der Sicherheits</w:t>
      </w:r>
      <w:r w:rsidR="00043DAA">
        <w:t>-</w:t>
      </w:r>
      <w:r w:rsidR="00043DAA" w:rsidRPr="00043DAA">
        <w:t>werkbank Klasse 2</w:t>
      </w:r>
    </w:p>
    <w:p w:rsidR="000015BD" w:rsidRPr="00E47F3B" w:rsidRDefault="00043DAA" w:rsidP="00E877C5">
      <w:pPr>
        <w:pStyle w:val="05BAFUGrundschrift"/>
        <w:spacing w:after="568"/>
        <w:jc w:val="left"/>
        <w:rPr>
          <w:rFonts w:ascii="Times New Roman" w:hAnsi="Times New Roman" w:cs="Times New Roman"/>
          <w:i/>
        </w:rPr>
      </w:pPr>
      <w:r w:rsidRPr="00043DAA">
        <w:rPr>
          <w:rFonts w:ascii="Times New Roman" w:hAnsi="Times New Roman" w:cs="Times New Roman"/>
          <w:i/>
        </w:rPr>
        <w:t>Zur Erläuterung: Diese Vorlage wurde verfasst nach einem Merk</w:t>
      </w:r>
      <w:r>
        <w:rPr>
          <w:rFonts w:ascii="Times New Roman" w:hAnsi="Times New Roman" w:cs="Times New Roman"/>
          <w:i/>
        </w:rPr>
        <w:t>blatt der BG Chemie (Berufsgenos</w:t>
      </w:r>
      <w:r w:rsidRPr="00043DAA">
        <w:rPr>
          <w:rFonts w:ascii="Times New Roman" w:hAnsi="Times New Roman" w:cs="Times New Roman"/>
          <w:i/>
        </w:rPr>
        <w:t>senschaft der chem</w:t>
      </w:r>
      <w:r>
        <w:rPr>
          <w:rFonts w:ascii="Times New Roman" w:hAnsi="Times New Roman" w:cs="Times New Roman"/>
          <w:i/>
        </w:rPr>
        <w:t>ischen Industrie, Deutschland): h</w:t>
      </w:r>
      <w:r w:rsidRPr="00043DAA">
        <w:rPr>
          <w:rFonts w:ascii="Times New Roman" w:hAnsi="Times New Roman" w:cs="Times New Roman"/>
          <w:i/>
        </w:rPr>
        <w:t>ttps://downloadcenter.bgrci.de/resource/downloadcenter/downlo</w:t>
      </w:r>
      <w:r>
        <w:rPr>
          <w:rFonts w:ascii="Times New Roman" w:hAnsi="Times New Roman" w:cs="Times New Roman"/>
          <w:i/>
        </w:rPr>
        <w:t xml:space="preserve">ads/B011_BA_MSW.2011-02-17.doc </w:t>
      </w:r>
      <w:r w:rsidRPr="00043DAA">
        <w:rPr>
          <w:rFonts w:ascii="Times New Roman" w:hAnsi="Times New Roman" w:cs="Times New Roman"/>
          <w:i/>
        </w:rPr>
        <w:t>und ist an die betriebsspezifischen Gegebenheiten anzupassen.</w:t>
      </w:r>
    </w:p>
    <w:tbl>
      <w:tblPr>
        <w:tblW w:w="9709" w:type="dxa"/>
        <w:tblLayout w:type="fixed"/>
        <w:tblCellMar>
          <w:left w:w="70" w:type="dxa"/>
          <w:right w:w="70" w:type="dxa"/>
        </w:tblCellMar>
        <w:tblLook w:val="0000" w:firstRow="0" w:lastRow="0" w:firstColumn="0" w:lastColumn="0" w:noHBand="0" w:noVBand="0"/>
      </w:tblPr>
      <w:tblGrid>
        <w:gridCol w:w="921"/>
        <w:gridCol w:w="8788"/>
      </w:tblGrid>
      <w:tr w:rsidR="000015BD" w:rsidRPr="000015BD" w:rsidTr="00E04C09">
        <w:trPr>
          <w:trHeight w:val="520"/>
        </w:trPr>
        <w:tc>
          <w:tcPr>
            <w:tcW w:w="921" w:type="dxa"/>
            <w:tcBorders>
              <w:top w:val="single" w:sz="4" w:space="0" w:color="auto"/>
            </w:tcBorders>
          </w:tcPr>
          <w:p w:rsidR="000015BD" w:rsidRPr="000015BD" w:rsidRDefault="000015BD" w:rsidP="000015BD">
            <w:pPr>
              <w:widowControl w:val="0"/>
              <w:spacing w:after="0" w:line="240" w:lineRule="atLeast"/>
              <w:rPr>
                <w:rFonts w:ascii="Arial" w:hAnsi="Arial" w:cs="Arial"/>
                <w:noProof/>
                <w:sz w:val="16"/>
                <w:szCs w:val="16"/>
                <w:lang w:eastAsia="de-CH"/>
              </w:rPr>
            </w:pPr>
          </w:p>
        </w:tc>
        <w:tc>
          <w:tcPr>
            <w:tcW w:w="8788" w:type="dxa"/>
            <w:tcBorders>
              <w:top w:val="single" w:sz="4" w:space="0" w:color="auto"/>
            </w:tcBorders>
          </w:tcPr>
          <w:p w:rsidR="00E04C09" w:rsidRPr="00E04C09" w:rsidRDefault="00E04C09" w:rsidP="000015BD">
            <w:pPr>
              <w:widowControl w:val="0"/>
              <w:spacing w:after="0" w:line="240" w:lineRule="exact"/>
              <w:ind w:left="57" w:right="57"/>
              <w:rPr>
                <w:rFonts w:ascii="Arial" w:hAnsi="Arial" w:cs="Arial"/>
                <w:b/>
                <w:sz w:val="20"/>
                <w:szCs w:val="20"/>
              </w:rPr>
            </w:pPr>
            <w:r w:rsidRPr="00E04C09">
              <w:rPr>
                <w:rFonts w:ascii="Arial" w:hAnsi="Arial" w:cs="Arial"/>
                <w:b/>
                <w:sz w:val="20"/>
                <w:szCs w:val="20"/>
              </w:rPr>
              <w:t>Hintergrund</w:t>
            </w:r>
          </w:p>
          <w:p w:rsidR="000015BD" w:rsidRDefault="000015BD" w:rsidP="000015BD">
            <w:pPr>
              <w:widowControl w:val="0"/>
              <w:spacing w:after="0" w:line="240" w:lineRule="exact"/>
              <w:ind w:left="57" w:right="57"/>
              <w:rPr>
                <w:rFonts w:ascii="Arial" w:hAnsi="Arial" w:cs="Arial"/>
                <w:sz w:val="16"/>
                <w:szCs w:val="16"/>
              </w:rPr>
            </w:pPr>
            <w:r w:rsidRPr="000015BD">
              <w:rPr>
                <w:rFonts w:ascii="Arial" w:hAnsi="Arial" w:cs="Arial"/>
                <w:sz w:val="16"/>
                <w:szCs w:val="16"/>
              </w:rPr>
              <w:t xml:space="preserve">Sicherheitswerkbänke der Klasse 2 gewährleisteten den Schutz von Personen, Produkt und Umwelt. Etwa 70% der Luft werden in der Kabine umgewälzt; 30% der Luft werden über Hochleistungsfilter an die Raumluft abgegeben. Entsprechend wird dieses Volumen von 30% laufend aus dem Laborraum angesaugt, was der Arbeitssicherheit und dem Gesundheitsschutz dient. </w:t>
            </w:r>
          </w:p>
          <w:p w:rsidR="000015BD" w:rsidRPr="000015BD" w:rsidRDefault="000015BD" w:rsidP="000015BD">
            <w:pPr>
              <w:widowControl w:val="0"/>
              <w:spacing w:after="0" w:line="240" w:lineRule="exact"/>
              <w:ind w:left="57" w:right="57"/>
              <w:rPr>
                <w:rFonts w:ascii="Arial" w:hAnsi="Arial" w:cs="Arial"/>
                <w:sz w:val="16"/>
                <w:szCs w:val="16"/>
              </w:rPr>
            </w:pPr>
          </w:p>
          <w:p w:rsidR="000015BD" w:rsidRPr="000015BD" w:rsidRDefault="000015BD" w:rsidP="000015BD">
            <w:pPr>
              <w:widowControl w:val="0"/>
              <w:spacing w:after="0" w:line="240" w:lineRule="exact"/>
              <w:ind w:left="57" w:right="57"/>
              <w:rPr>
                <w:rFonts w:ascii="Arial" w:hAnsi="Arial" w:cs="Arial"/>
                <w:sz w:val="16"/>
                <w:szCs w:val="16"/>
              </w:rPr>
            </w:pPr>
            <w:r w:rsidRPr="000015BD">
              <w:rPr>
                <w:rFonts w:ascii="Arial" w:hAnsi="Arial" w:cs="Arial"/>
                <w:sz w:val="16"/>
                <w:szCs w:val="16"/>
              </w:rPr>
              <w:t>Gute mikrobiologische Praktiken sind auch in der Sicherheitswerkbank notwendig, da diese nur gegen Aerosolkontaminationen schützen, nicht aber gegen Kontaktkontaminationen. Entsprechend müssen sich die Hände des Beschäftigten während der Arbeit innerhalb der Sicherheitswerkbank befinden und dürfen nicht zum Gesicht geführt werden.</w:t>
            </w:r>
          </w:p>
          <w:p w:rsidR="000015BD" w:rsidRPr="000015BD" w:rsidRDefault="000015BD" w:rsidP="000015BD">
            <w:pPr>
              <w:widowControl w:val="0"/>
              <w:spacing w:after="0" w:line="240" w:lineRule="exact"/>
              <w:ind w:left="57"/>
              <w:rPr>
                <w:rFonts w:ascii="Arial" w:hAnsi="Arial" w:cs="Arial"/>
                <w:b/>
                <w:sz w:val="16"/>
                <w:szCs w:val="16"/>
              </w:rPr>
            </w:pPr>
          </w:p>
        </w:tc>
      </w:tr>
      <w:tr w:rsidR="00E04C09" w:rsidRPr="000015BD" w:rsidTr="00A310F8">
        <w:trPr>
          <w:trHeight w:val="1040"/>
        </w:trPr>
        <w:tc>
          <w:tcPr>
            <w:tcW w:w="921" w:type="dxa"/>
            <w:shd w:val="clear" w:color="auto" w:fill="F2F2F2" w:themeFill="background1" w:themeFillShade="F2"/>
          </w:tcPr>
          <w:p w:rsidR="00E04C09" w:rsidRPr="000015BD" w:rsidRDefault="00E04C09" w:rsidP="00E04C09">
            <w:pPr>
              <w:widowControl w:val="0"/>
              <w:spacing w:after="0" w:line="240" w:lineRule="atLeast"/>
              <w:rPr>
                <w:rFonts w:ascii="Arial" w:hAnsi="Arial" w:cs="Arial"/>
                <w:sz w:val="16"/>
                <w:szCs w:val="16"/>
              </w:rPr>
            </w:pPr>
            <w:r w:rsidRPr="000015BD">
              <w:rPr>
                <w:rFonts w:ascii="Arial" w:hAnsi="Arial" w:cs="Arial"/>
                <w:noProof/>
                <w:sz w:val="16"/>
                <w:szCs w:val="16"/>
                <w:lang w:eastAsia="de-CH"/>
              </w:rPr>
              <w:drawing>
                <wp:inline distT="0" distB="0" distL="0" distR="0" wp14:anchorId="2D092847" wp14:editId="535AF838">
                  <wp:extent cx="501015" cy="582295"/>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015" cy="582295"/>
                          </a:xfrm>
                          <a:prstGeom prst="rect">
                            <a:avLst/>
                          </a:prstGeom>
                          <a:noFill/>
                          <a:ln>
                            <a:noFill/>
                          </a:ln>
                        </pic:spPr>
                      </pic:pic>
                    </a:graphicData>
                  </a:graphic>
                </wp:inline>
              </w:drawing>
            </w:r>
          </w:p>
        </w:tc>
        <w:tc>
          <w:tcPr>
            <w:tcW w:w="8788" w:type="dxa"/>
            <w:shd w:val="clear" w:color="auto" w:fill="F2F2F2" w:themeFill="background1" w:themeFillShade="F2"/>
          </w:tcPr>
          <w:p w:rsidR="00E04C09" w:rsidRDefault="00E04C09" w:rsidP="00E04C09">
            <w:pPr>
              <w:pStyle w:val="05BAFUGrundschrift"/>
              <w:spacing w:after="0"/>
              <w:rPr>
                <w:b/>
              </w:rPr>
            </w:pPr>
            <w:r>
              <w:rPr>
                <w:b/>
              </w:rPr>
              <w:t>Gefahren für Mensch und Umwelt</w:t>
            </w:r>
          </w:p>
          <w:p w:rsidR="00E04C09" w:rsidRPr="00E47F3B" w:rsidRDefault="00E04C09" w:rsidP="00E04C09">
            <w:pPr>
              <w:widowControl w:val="0"/>
              <w:spacing w:after="0" w:line="240" w:lineRule="exact"/>
              <w:ind w:left="57" w:right="57"/>
              <w:rPr>
                <w:b/>
                <w:noProof/>
                <w:sz w:val="20"/>
                <w:szCs w:val="20"/>
                <w:lang w:eastAsia="de-CH"/>
              </w:rPr>
            </w:pPr>
            <w:r w:rsidRPr="00E04C09">
              <w:rPr>
                <w:rFonts w:ascii="Arial" w:hAnsi="Arial" w:cs="Arial"/>
                <w:sz w:val="16"/>
                <w:szCs w:val="16"/>
              </w:rPr>
              <w:t>Gefahr der Freisetzung biologischer Arbeitsstoffe aus der Werkbank bei unsachgemäßer Arbeitsweise.</w:t>
            </w:r>
          </w:p>
        </w:tc>
      </w:tr>
      <w:tr w:rsidR="00E04C09" w:rsidRPr="000015BD" w:rsidTr="000015BD">
        <w:tc>
          <w:tcPr>
            <w:tcW w:w="921" w:type="dxa"/>
            <w:vMerge w:val="restart"/>
          </w:tcPr>
          <w:p w:rsidR="00E04C09" w:rsidRPr="000015BD" w:rsidRDefault="00E04C09" w:rsidP="00E04C09">
            <w:pPr>
              <w:pStyle w:val="Zeichnung"/>
              <w:widowControl w:val="0"/>
              <w:spacing w:before="0" w:after="0" w:line="240" w:lineRule="atLeast"/>
              <w:ind w:left="57" w:right="57"/>
              <w:jc w:val="left"/>
              <w:rPr>
                <w:rFonts w:cs="Arial"/>
                <w:szCs w:val="16"/>
              </w:rPr>
            </w:pPr>
            <w:r w:rsidRPr="000015BD">
              <w:rPr>
                <w:rFonts w:cs="Arial"/>
                <w:noProof/>
                <w:szCs w:val="16"/>
                <w:lang w:val="de-CH" w:eastAsia="de-CH"/>
              </w:rPr>
              <w:drawing>
                <wp:inline distT="0" distB="0" distL="0" distR="0" wp14:anchorId="63F160AC" wp14:editId="3E1688A4">
                  <wp:extent cx="413385" cy="413385"/>
                  <wp:effectExtent l="0" t="0" r="0" b="0"/>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85" cy="413385"/>
                          </a:xfrm>
                          <a:prstGeom prst="rect">
                            <a:avLst/>
                          </a:prstGeom>
                          <a:noFill/>
                          <a:ln>
                            <a:noFill/>
                          </a:ln>
                        </pic:spPr>
                      </pic:pic>
                    </a:graphicData>
                  </a:graphic>
                </wp:inline>
              </w:drawing>
            </w:r>
          </w:p>
          <w:p w:rsidR="00E04C09" w:rsidRPr="000015BD" w:rsidRDefault="00E04C09" w:rsidP="00E04C09">
            <w:pPr>
              <w:pStyle w:val="Zeichnung"/>
              <w:widowControl w:val="0"/>
              <w:spacing w:before="0" w:after="0" w:line="240" w:lineRule="atLeast"/>
              <w:ind w:left="57" w:right="57"/>
              <w:jc w:val="left"/>
              <w:rPr>
                <w:rFonts w:cs="Arial"/>
                <w:szCs w:val="16"/>
              </w:rPr>
            </w:pPr>
            <w:r w:rsidRPr="000015BD">
              <w:rPr>
                <w:rFonts w:cs="Arial"/>
                <w:noProof/>
                <w:szCs w:val="16"/>
                <w:lang w:val="de-CH" w:eastAsia="de-CH"/>
              </w:rPr>
              <w:drawing>
                <wp:inline distT="0" distB="0" distL="0" distR="0" wp14:anchorId="0184D379" wp14:editId="5FB17EE7">
                  <wp:extent cx="413385" cy="413385"/>
                  <wp:effectExtent l="0" t="0" r="0" b="0"/>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85" cy="413385"/>
                          </a:xfrm>
                          <a:prstGeom prst="rect">
                            <a:avLst/>
                          </a:prstGeom>
                          <a:noFill/>
                          <a:ln>
                            <a:noFill/>
                          </a:ln>
                        </pic:spPr>
                      </pic:pic>
                    </a:graphicData>
                  </a:graphic>
                </wp:inline>
              </w:drawing>
            </w:r>
          </w:p>
          <w:p w:rsidR="00E04C09" w:rsidRPr="000015BD" w:rsidRDefault="00E04C09" w:rsidP="00E04C09">
            <w:pPr>
              <w:widowControl w:val="0"/>
              <w:spacing w:after="0" w:line="240" w:lineRule="atLeast"/>
              <w:ind w:left="57" w:right="57"/>
              <w:rPr>
                <w:rFonts w:ascii="Arial" w:hAnsi="Arial" w:cs="Arial"/>
                <w:sz w:val="16"/>
                <w:szCs w:val="16"/>
              </w:rPr>
            </w:pPr>
          </w:p>
        </w:tc>
        <w:tc>
          <w:tcPr>
            <w:tcW w:w="8788" w:type="dxa"/>
          </w:tcPr>
          <w:p w:rsidR="00E04C09" w:rsidRDefault="00E04C09" w:rsidP="00E04C09">
            <w:pPr>
              <w:widowControl w:val="0"/>
              <w:spacing w:after="0" w:line="240" w:lineRule="exact"/>
              <w:ind w:left="57"/>
              <w:rPr>
                <w:rFonts w:ascii="Arial" w:hAnsi="Arial" w:cs="Arial"/>
                <w:b/>
                <w:sz w:val="20"/>
                <w:szCs w:val="20"/>
              </w:rPr>
            </w:pPr>
            <w:r w:rsidRPr="00E47F3B">
              <w:rPr>
                <w:rFonts w:ascii="Arial" w:hAnsi="Arial" w:cs="Arial"/>
                <w:b/>
                <w:sz w:val="20"/>
                <w:szCs w:val="20"/>
              </w:rPr>
              <w:t>Schutzmassnahmen und Verhaltensregeln</w:t>
            </w:r>
          </w:p>
          <w:p w:rsidR="00E04C09" w:rsidRPr="000015BD" w:rsidRDefault="00E04C09" w:rsidP="00E04C09">
            <w:pPr>
              <w:widowControl w:val="0"/>
              <w:spacing w:after="0" w:line="240" w:lineRule="exact"/>
              <w:ind w:left="57"/>
              <w:rPr>
                <w:rFonts w:ascii="Arial" w:hAnsi="Arial" w:cs="Arial"/>
                <w:b/>
                <w:sz w:val="16"/>
                <w:szCs w:val="16"/>
              </w:rPr>
            </w:pPr>
          </w:p>
        </w:tc>
      </w:tr>
      <w:tr w:rsidR="00E04C09" w:rsidRPr="000015BD" w:rsidTr="000015BD">
        <w:tc>
          <w:tcPr>
            <w:tcW w:w="921" w:type="dxa"/>
            <w:vMerge/>
          </w:tcPr>
          <w:p w:rsidR="00E04C09" w:rsidRPr="000015BD" w:rsidRDefault="00E04C09" w:rsidP="00E04C09">
            <w:pPr>
              <w:widowControl w:val="0"/>
              <w:spacing w:after="0" w:line="240" w:lineRule="atLeast"/>
              <w:ind w:left="57" w:right="57"/>
              <w:rPr>
                <w:rFonts w:ascii="Arial" w:hAnsi="Arial" w:cs="Arial"/>
                <w:sz w:val="16"/>
                <w:szCs w:val="16"/>
              </w:rPr>
            </w:pPr>
          </w:p>
        </w:tc>
        <w:tc>
          <w:tcPr>
            <w:tcW w:w="8788" w:type="dxa"/>
          </w:tcPr>
          <w:p w:rsidR="00E04C09" w:rsidRPr="0073339C" w:rsidRDefault="00E04C09" w:rsidP="00E04C09">
            <w:pPr>
              <w:widowControl w:val="0"/>
              <w:spacing w:after="0" w:line="240" w:lineRule="exact"/>
              <w:ind w:left="57" w:right="57"/>
              <w:rPr>
                <w:rFonts w:ascii="Arial" w:hAnsi="Arial" w:cs="Arial"/>
                <w:i/>
                <w:sz w:val="16"/>
                <w:szCs w:val="16"/>
              </w:rPr>
            </w:pPr>
            <w:r w:rsidRPr="0073339C">
              <w:rPr>
                <w:rFonts w:ascii="Arial" w:hAnsi="Arial" w:cs="Arial"/>
                <w:i/>
                <w:sz w:val="16"/>
                <w:szCs w:val="16"/>
              </w:rPr>
              <w:t>Durchzug im Arbeitsbereich vermeiden, dazu Fenster und Türen während der Arbeiten in der Sicherheitswerkbank geschlossen halten. Aufstellungsort der Werkbank nicht zu dicht neben Türen.</w:t>
            </w:r>
          </w:p>
          <w:p w:rsidR="00E04C09" w:rsidRPr="0073339C" w:rsidRDefault="00E04C09" w:rsidP="00E04C09">
            <w:pPr>
              <w:widowControl w:val="0"/>
              <w:spacing w:after="0" w:line="240" w:lineRule="exact"/>
              <w:ind w:left="57" w:right="57"/>
              <w:rPr>
                <w:rFonts w:ascii="Arial" w:hAnsi="Arial" w:cs="Arial"/>
                <w:i/>
                <w:sz w:val="16"/>
                <w:szCs w:val="16"/>
              </w:rPr>
            </w:pPr>
            <w:r w:rsidRPr="0073339C">
              <w:rPr>
                <w:rFonts w:ascii="Arial" w:hAnsi="Arial" w:cs="Arial"/>
                <w:i/>
                <w:sz w:val="16"/>
                <w:szCs w:val="16"/>
              </w:rPr>
              <w:t>Gerät etwa 10 (bis 30) Minuten vor Arbeitsbeginn einschalten.</w:t>
            </w:r>
          </w:p>
          <w:p w:rsidR="003A6AEB" w:rsidRDefault="003A6AEB" w:rsidP="00E04C09">
            <w:pPr>
              <w:widowControl w:val="0"/>
              <w:spacing w:after="0" w:line="240" w:lineRule="exact"/>
              <w:ind w:left="57" w:right="57"/>
              <w:rPr>
                <w:rFonts w:ascii="Arial" w:hAnsi="Arial" w:cs="Arial"/>
                <w:sz w:val="16"/>
                <w:szCs w:val="16"/>
              </w:rPr>
            </w:pPr>
          </w:p>
          <w:p w:rsidR="00E04C09" w:rsidRPr="000015BD"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Persönliche Schutzausrüstung benutzen:</w:t>
            </w:r>
            <w:r w:rsidRPr="000015BD">
              <w:rPr>
                <w:rFonts w:ascii="Arial" w:hAnsi="Arial" w:cs="Arial"/>
                <w:i/>
                <w:sz w:val="16"/>
                <w:szCs w:val="16"/>
              </w:rPr>
              <w:t xml:space="preserve"> </w:t>
            </w:r>
            <w:r w:rsidRPr="0073339C">
              <w:rPr>
                <w:rFonts w:ascii="Arial" w:hAnsi="Arial" w:cs="Arial"/>
                <w:b/>
                <w:sz w:val="16"/>
                <w:szCs w:val="16"/>
              </w:rPr>
              <w:t>mindestens</w:t>
            </w:r>
            <w:r w:rsidRPr="000015BD">
              <w:rPr>
                <w:rFonts w:ascii="Arial" w:hAnsi="Arial" w:cs="Arial"/>
                <w:sz w:val="16"/>
                <w:szCs w:val="16"/>
              </w:rPr>
              <w:t xml:space="preserve"> Laborkittel.</w:t>
            </w:r>
          </w:p>
          <w:p w:rsidR="00E04C09" w:rsidRPr="000015BD"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Bei Tätigkeiten mit</w:t>
            </w:r>
            <w:r w:rsidRPr="000015BD">
              <w:rPr>
                <w:rFonts w:ascii="Arial" w:hAnsi="Arial" w:cs="Arial"/>
                <w:b/>
                <w:color w:val="FF0000"/>
                <w:sz w:val="16"/>
                <w:szCs w:val="16"/>
              </w:rPr>
              <w:t xml:space="preserve"> </w:t>
            </w:r>
            <w:r w:rsidRPr="000015BD">
              <w:rPr>
                <w:rFonts w:ascii="Arial" w:hAnsi="Arial" w:cs="Arial"/>
                <w:sz w:val="16"/>
                <w:szCs w:val="16"/>
              </w:rPr>
              <w:t>besonders heiklen chemischen oder biologischen Agentien sind</w:t>
            </w:r>
            <w:r w:rsidRPr="000015BD">
              <w:rPr>
                <w:rFonts w:ascii="Arial" w:hAnsi="Arial" w:cs="Arial"/>
                <w:i/>
                <w:sz w:val="16"/>
                <w:szCs w:val="16"/>
              </w:rPr>
              <w:t xml:space="preserve"> </w:t>
            </w:r>
            <w:r w:rsidRPr="000015BD">
              <w:rPr>
                <w:rFonts w:ascii="Arial" w:hAnsi="Arial" w:cs="Arial"/>
                <w:sz w:val="16"/>
                <w:szCs w:val="16"/>
              </w:rPr>
              <w:t>zusätzlich auch Schutzbrille und Einmalhandschuhe (Latex oder Nitril) zu verwenden (Siehe die dazu notwendigen, spezifischen Betriebsanweisungen).</w:t>
            </w:r>
          </w:p>
          <w:p w:rsidR="00E04C09" w:rsidRPr="000015BD"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Aerosolbildung auch unter der Sicherheitswerkbank soweit als möglich vermeiden.</w:t>
            </w:r>
          </w:p>
          <w:p w:rsidR="0073339C" w:rsidRDefault="0073339C" w:rsidP="00E04C09">
            <w:pPr>
              <w:widowControl w:val="0"/>
              <w:spacing w:after="0" w:line="240" w:lineRule="exact"/>
              <w:ind w:left="57" w:right="57"/>
              <w:rPr>
                <w:rFonts w:ascii="Arial" w:hAnsi="Arial" w:cs="Arial"/>
                <w:sz w:val="16"/>
                <w:szCs w:val="16"/>
              </w:rPr>
            </w:pPr>
          </w:p>
          <w:p w:rsidR="00E04C09" w:rsidRPr="000015BD"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Störungen des laminaren Luftstroms soweit als möglich vermeiden:</w:t>
            </w:r>
          </w:p>
          <w:p w:rsidR="00E04C09" w:rsidRPr="000015BD" w:rsidRDefault="00E04C09" w:rsidP="003A6AEB">
            <w:pPr>
              <w:widowControl w:val="0"/>
              <w:numPr>
                <w:ilvl w:val="0"/>
                <w:numId w:val="50"/>
              </w:numPr>
              <w:tabs>
                <w:tab w:val="clear" w:pos="697"/>
              </w:tabs>
              <w:spacing w:after="0" w:line="240" w:lineRule="exact"/>
              <w:ind w:left="354" w:right="57" w:hanging="266"/>
              <w:rPr>
                <w:rFonts w:ascii="Arial" w:hAnsi="Arial" w:cs="Arial"/>
                <w:sz w:val="16"/>
                <w:szCs w:val="16"/>
              </w:rPr>
            </w:pPr>
            <w:r w:rsidRPr="000015BD">
              <w:rPr>
                <w:rFonts w:ascii="Arial" w:hAnsi="Arial" w:cs="Arial"/>
                <w:sz w:val="16"/>
                <w:szCs w:val="16"/>
              </w:rPr>
              <w:t>keine schnellen oder heftigen Bewegungen,</w:t>
            </w:r>
          </w:p>
          <w:p w:rsidR="00E04C09" w:rsidRPr="000015BD" w:rsidRDefault="00E04C09" w:rsidP="003A6AEB">
            <w:pPr>
              <w:widowControl w:val="0"/>
              <w:numPr>
                <w:ilvl w:val="0"/>
                <w:numId w:val="50"/>
              </w:numPr>
              <w:tabs>
                <w:tab w:val="clear" w:pos="697"/>
              </w:tabs>
              <w:spacing w:after="0" w:line="240" w:lineRule="exact"/>
              <w:ind w:left="354" w:right="57" w:hanging="266"/>
              <w:rPr>
                <w:rFonts w:ascii="Arial" w:hAnsi="Arial" w:cs="Arial"/>
                <w:sz w:val="16"/>
                <w:szCs w:val="16"/>
              </w:rPr>
            </w:pPr>
            <w:r w:rsidRPr="000015BD">
              <w:rPr>
                <w:rFonts w:ascii="Arial" w:hAnsi="Arial" w:cs="Arial"/>
                <w:sz w:val="16"/>
                <w:szCs w:val="16"/>
              </w:rPr>
              <w:t>sperrige Geräte nur wenn unbedingt erforderlich in die Sicherheitswerkbank einbringen und nach Gebrauch sofort wieder entfernen,</w:t>
            </w:r>
          </w:p>
          <w:p w:rsidR="00E04C09" w:rsidRPr="000015BD" w:rsidRDefault="00E04C09" w:rsidP="003A6AEB">
            <w:pPr>
              <w:widowControl w:val="0"/>
              <w:numPr>
                <w:ilvl w:val="0"/>
                <w:numId w:val="50"/>
              </w:numPr>
              <w:tabs>
                <w:tab w:val="clear" w:pos="697"/>
              </w:tabs>
              <w:spacing w:after="0" w:line="240" w:lineRule="exact"/>
              <w:ind w:left="354" w:right="57" w:hanging="266"/>
              <w:rPr>
                <w:rFonts w:ascii="Arial" w:hAnsi="Arial" w:cs="Arial"/>
                <w:sz w:val="16"/>
                <w:szCs w:val="16"/>
              </w:rPr>
            </w:pPr>
            <w:r w:rsidRPr="000015BD">
              <w:rPr>
                <w:rFonts w:ascii="Arial" w:hAnsi="Arial" w:cs="Arial"/>
                <w:sz w:val="16"/>
                <w:szCs w:val="16"/>
              </w:rPr>
              <w:t xml:space="preserve">keine unnötigen Gegenstände in der Sicherheitswerkbank lagern. Nur </w:t>
            </w:r>
            <w:proofErr w:type="spellStart"/>
            <w:r w:rsidRPr="000015BD">
              <w:rPr>
                <w:rFonts w:ascii="Arial" w:hAnsi="Arial" w:cs="Arial"/>
                <w:sz w:val="16"/>
                <w:szCs w:val="16"/>
              </w:rPr>
              <w:t>soviel</w:t>
            </w:r>
            <w:proofErr w:type="spellEnd"/>
            <w:r w:rsidRPr="000015BD">
              <w:rPr>
                <w:rFonts w:ascii="Arial" w:hAnsi="Arial" w:cs="Arial"/>
                <w:sz w:val="16"/>
                <w:szCs w:val="16"/>
              </w:rPr>
              <w:t xml:space="preserve"> Material und Geräte einbringen, wie für die Arbeiten unbedingt notwendig sind.</w:t>
            </w:r>
          </w:p>
          <w:p w:rsidR="00E04C09" w:rsidRPr="000015BD" w:rsidRDefault="00E04C09" w:rsidP="003A6AEB">
            <w:pPr>
              <w:widowControl w:val="0"/>
              <w:numPr>
                <w:ilvl w:val="0"/>
                <w:numId w:val="50"/>
              </w:numPr>
              <w:tabs>
                <w:tab w:val="clear" w:pos="697"/>
              </w:tabs>
              <w:spacing w:after="0" w:line="240" w:lineRule="exact"/>
              <w:ind w:left="354" w:right="57" w:hanging="266"/>
              <w:rPr>
                <w:rFonts w:ascii="Arial" w:hAnsi="Arial" w:cs="Arial"/>
                <w:sz w:val="16"/>
                <w:szCs w:val="16"/>
              </w:rPr>
            </w:pPr>
            <w:r w:rsidRPr="000015BD">
              <w:rPr>
                <w:rFonts w:ascii="Arial" w:hAnsi="Arial" w:cs="Arial"/>
                <w:sz w:val="16"/>
                <w:szCs w:val="16"/>
              </w:rPr>
              <w:t>Bunsenbrenner nicht im Dauerbetrieb benutzen. Über Sensor oder Fußschalter nur bei Bedarf kurz zünden,</w:t>
            </w:r>
          </w:p>
          <w:p w:rsidR="00E04C09" w:rsidRPr="000015BD" w:rsidRDefault="00E04C09" w:rsidP="003A6AEB">
            <w:pPr>
              <w:widowControl w:val="0"/>
              <w:numPr>
                <w:ilvl w:val="0"/>
                <w:numId w:val="50"/>
              </w:numPr>
              <w:tabs>
                <w:tab w:val="clear" w:pos="697"/>
              </w:tabs>
              <w:spacing w:after="0" w:line="240" w:lineRule="exact"/>
              <w:ind w:left="354" w:right="57" w:hanging="266"/>
              <w:rPr>
                <w:rFonts w:ascii="Arial" w:hAnsi="Arial" w:cs="Arial"/>
                <w:b/>
                <w:sz w:val="16"/>
                <w:szCs w:val="16"/>
              </w:rPr>
            </w:pPr>
            <w:r w:rsidRPr="000015BD">
              <w:rPr>
                <w:rFonts w:ascii="Arial" w:hAnsi="Arial" w:cs="Arial"/>
                <w:b/>
                <w:sz w:val="16"/>
                <w:szCs w:val="16"/>
              </w:rPr>
              <w:t>Luftschlitze nicht verdecken.</w:t>
            </w:r>
          </w:p>
          <w:p w:rsidR="0073339C" w:rsidRDefault="0073339C" w:rsidP="00E04C09">
            <w:pPr>
              <w:widowControl w:val="0"/>
              <w:spacing w:after="0" w:line="240" w:lineRule="exact"/>
              <w:ind w:left="57" w:right="57"/>
              <w:rPr>
                <w:rFonts w:ascii="Arial" w:hAnsi="Arial" w:cs="Arial"/>
                <w:sz w:val="16"/>
                <w:szCs w:val="16"/>
              </w:rPr>
            </w:pPr>
          </w:p>
          <w:p w:rsidR="00E04C09" w:rsidRPr="000015BD" w:rsidRDefault="00E04C09" w:rsidP="00E04C09">
            <w:pPr>
              <w:widowControl w:val="0"/>
              <w:spacing w:after="0" w:line="240" w:lineRule="exact"/>
              <w:ind w:left="57" w:right="57"/>
              <w:rPr>
                <w:rFonts w:ascii="Arial" w:hAnsi="Arial" w:cs="Arial"/>
                <w:b/>
                <w:sz w:val="16"/>
                <w:szCs w:val="16"/>
              </w:rPr>
            </w:pPr>
            <w:r w:rsidRPr="000015BD">
              <w:rPr>
                <w:rFonts w:ascii="Arial" w:hAnsi="Arial" w:cs="Arial"/>
                <w:sz w:val="16"/>
                <w:szCs w:val="16"/>
              </w:rPr>
              <w:t xml:space="preserve">Alle Geräte, die in die Sicherheitswerkbank eingebracht werden, sind vorher zu reinigen und zu desinfizieren. Geräte, die aus der Sicherheitswerkbank entfernt werden, sind vorher zu desinfizieren und danach erforderlichenfalls zu reinigen </w:t>
            </w:r>
            <w:r w:rsidRPr="000015BD">
              <w:rPr>
                <w:rFonts w:ascii="Arial" w:hAnsi="Arial" w:cs="Arial"/>
                <w:sz w:val="16"/>
                <w:szCs w:val="16"/>
              </w:rPr>
              <w:lastRenderedPageBreak/>
              <w:t>(Reihenfolge beachten).</w:t>
            </w:r>
            <w:r w:rsidRPr="000015BD">
              <w:rPr>
                <w:rFonts w:ascii="Arial" w:hAnsi="Arial" w:cs="Arial"/>
                <w:b/>
                <w:sz w:val="16"/>
                <w:szCs w:val="16"/>
              </w:rPr>
              <w:t xml:space="preserve"> </w:t>
            </w:r>
          </w:p>
          <w:p w:rsidR="0073339C" w:rsidRDefault="0073339C" w:rsidP="00E04C09">
            <w:pPr>
              <w:widowControl w:val="0"/>
              <w:spacing w:after="0" w:line="240" w:lineRule="exact"/>
              <w:ind w:left="57" w:right="57"/>
              <w:rPr>
                <w:rFonts w:ascii="Arial" w:hAnsi="Arial" w:cs="Arial"/>
                <w:sz w:val="16"/>
                <w:szCs w:val="16"/>
              </w:rPr>
            </w:pPr>
          </w:p>
          <w:p w:rsidR="00E04C09" w:rsidRDefault="00E04C09" w:rsidP="00E04C09">
            <w:pPr>
              <w:widowControl w:val="0"/>
              <w:spacing w:after="0" w:line="240" w:lineRule="exact"/>
              <w:ind w:left="57" w:right="57"/>
              <w:rPr>
                <w:rFonts w:ascii="Arial" w:hAnsi="Arial" w:cs="Arial"/>
                <w:b/>
                <w:sz w:val="16"/>
                <w:szCs w:val="16"/>
              </w:rPr>
            </w:pPr>
            <w:r w:rsidRPr="000015BD">
              <w:rPr>
                <w:rFonts w:ascii="Arial" w:hAnsi="Arial" w:cs="Arial"/>
                <w:sz w:val="16"/>
                <w:szCs w:val="16"/>
              </w:rPr>
              <w:t>Die Arbeitsfläche der Sicherheitswerkbank ist nach Beendigung der Tätigkeiten zu säubern und zu desinfizieren. Abfälle sind zu entsorgen, Pasteur Pipetten an Schläuchen sind zu entfernen und Vakuumschläuche sind zu desinfizieren (siehe Betriebsanweisungen zur Hygiene und zur Abfallentsorgung). Sind brennbare Desinfektionsmittel vorgeschrieben, darf aus Gründen des Explosionsschutzes nur eine Wischdesinfektion mit Mengen kleiner als 20 Milliliter durchgeführt werden.</w:t>
            </w:r>
            <w:r w:rsidRPr="000015BD">
              <w:rPr>
                <w:rFonts w:ascii="Arial" w:hAnsi="Arial" w:cs="Arial"/>
                <w:b/>
                <w:sz w:val="16"/>
                <w:szCs w:val="16"/>
              </w:rPr>
              <w:t xml:space="preserve"> </w:t>
            </w:r>
          </w:p>
          <w:p w:rsidR="009F142B" w:rsidRPr="000015BD" w:rsidRDefault="009F142B" w:rsidP="00E04C09">
            <w:pPr>
              <w:widowControl w:val="0"/>
              <w:spacing w:after="0" w:line="240" w:lineRule="exact"/>
              <w:ind w:left="57" w:right="57"/>
              <w:rPr>
                <w:rFonts w:ascii="Arial" w:hAnsi="Arial" w:cs="Arial"/>
                <w:b/>
                <w:sz w:val="16"/>
                <w:szCs w:val="16"/>
              </w:rPr>
            </w:pPr>
          </w:p>
        </w:tc>
      </w:tr>
      <w:tr w:rsidR="00E04C09" w:rsidRPr="000015BD" w:rsidTr="000015BD">
        <w:tc>
          <w:tcPr>
            <w:tcW w:w="921" w:type="dxa"/>
          </w:tcPr>
          <w:p w:rsidR="00E04C09" w:rsidRPr="000015BD" w:rsidRDefault="00E04C09" w:rsidP="00E04C09">
            <w:pPr>
              <w:widowControl w:val="0"/>
              <w:spacing w:after="0" w:line="240" w:lineRule="atLeast"/>
              <w:ind w:left="57" w:right="57"/>
              <w:rPr>
                <w:rFonts w:ascii="Arial" w:hAnsi="Arial" w:cs="Arial"/>
                <w:sz w:val="16"/>
                <w:szCs w:val="16"/>
              </w:rPr>
            </w:pPr>
          </w:p>
        </w:tc>
        <w:tc>
          <w:tcPr>
            <w:tcW w:w="8788" w:type="dxa"/>
          </w:tcPr>
          <w:p w:rsidR="00E04C09" w:rsidRPr="000015BD" w:rsidRDefault="00E04C09" w:rsidP="00E04C09">
            <w:pPr>
              <w:widowControl w:val="0"/>
              <w:spacing w:after="0" w:line="240" w:lineRule="exact"/>
              <w:ind w:left="57" w:right="57"/>
              <w:rPr>
                <w:rFonts w:ascii="Arial" w:hAnsi="Arial" w:cs="Arial"/>
                <w:b/>
                <w:sz w:val="16"/>
                <w:szCs w:val="16"/>
              </w:rPr>
            </w:pPr>
            <w:r w:rsidRPr="000015BD">
              <w:rPr>
                <w:rFonts w:ascii="Arial" w:hAnsi="Arial" w:cs="Arial"/>
                <w:sz w:val="16"/>
                <w:szCs w:val="16"/>
              </w:rPr>
              <w:t>Wird an der Sicherheitswerkbank nicht gearbeitet, kann sie zur Energieeinsparung auf reduzierte Leistung geschaltet werden. Die Verschmutzung des Arbeitsraumes durch die Laborluft wird hierdurch vermieden.</w:t>
            </w:r>
          </w:p>
          <w:p w:rsidR="00E04C09"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Wurde mit biologischen Arbeitsstoffen mit Gefährdungspotential gearbeitet, darf das Gerät nur durch eine autorisierte Person ausgeschaltet werden. Die Sterilität des Innenraums sollte durch offenes Aufstellen von Petrischalen mit Nährstoffböden gelegentlich kontrolliert werden. Tritt auf den Nährstoffböden ein Wachstum von Mikroorganismen auf, so sind der Laborleiter und die verantwortliche Person gemäss Wartungsplan zu informieren.</w:t>
            </w:r>
          </w:p>
          <w:p w:rsidR="008337FB" w:rsidRPr="000015BD" w:rsidRDefault="008337FB" w:rsidP="00E04C09">
            <w:pPr>
              <w:widowControl w:val="0"/>
              <w:spacing w:after="0" w:line="240" w:lineRule="exact"/>
              <w:ind w:left="57" w:right="57"/>
              <w:rPr>
                <w:rFonts w:ascii="Arial" w:hAnsi="Arial" w:cs="Arial"/>
                <w:sz w:val="16"/>
                <w:szCs w:val="16"/>
              </w:rPr>
            </w:pPr>
          </w:p>
        </w:tc>
      </w:tr>
      <w:tr w:rsidR="00E04C09" w:rsidRPr="000015BD" w:rsidTr="00E47F3B">
        <w:tc>
          <w:tcPr>
            <w:tcW w:w="921" w:type="dxa"/>
            <w:shd w:val="clear" w:color="auto" w:fill="F2F2F2" w:themeFill="background1" w:themeFillShade="F2"/>
          </w:tcPr>
          <w:p w:rsidR="00E04C09" w:rsidRPr="000015BD" w:rsidRDefault="00E04C09" w:rsidP="00E04C09">
            <w:pPr>
              <w:spacing w:after="0" w:line="240" w:lineRule="atLeast"/>
              <w:ind w:left="57" w:right="57"/>
              <w:rPr>
                <w:rFonts w:ascii="Arial" w:hAnsi="Arial" w:cs="Arial"/>
                <w:sz w:val="16"/>
                <w:szCs w:val="16"/>
              </w:rPr>
            </w:pPr>
            <w:r w:rsidRPr="000015BD">
              <w:rPr>
                <w:rFonts w:ascii="Arial" w:hAnsi="Arial" w:cs="Arial"/>
                <w:sz w:val="16"/>
                <w:szCs w:val="16"/>
              </w:rPr>
              <w:br w:type="page"/>
            </w:r>
            <w:r w:rsidRPr="000015BD">
              <w:rPr>
                <w:rFonts w:ascii="Arial" w:hAnsi="Arial" w:cs="Arial"/>
                <w:noProof/>
                <w:sz w:val="16"/>
                <w:szCs w:val="16"/>
                <w:lang w:eastAsia="de-CH"/>
              </w:rPr>
              <w:drawing>
                <wp:inline distT="0" distB="0" distL="0" distR="0" wp14:anchorId="375E5BBB" wp14:editId="39F1E4E2">
                  <wp:extent cx="413385" cy="135255"/>
                  <wp:effectExtent l="0" t="0" r="0" b="0"/>
                  <wp:docPr id="4"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385" cy="135255"/>
                          </a:xfrm>
                          <a:prstGeom prst="rect">
                            <a:avLst/>
                          </a:prstGeom>
                          <a:noFill/>
                          <a:ln>
                            <a:noFill/>
                          </a:ln>
                        </pic:spPr>
                      </pic:pic>
                    </a:graphicData>
                  </a:graphic>
                </wp:inline>
              </w:drawing>
            </w:r>
          </w:p>
        </w:tc>
        <w:tc>
          <w:tcPr>
            <w:tcW w:w="8788" w:type="dxa"/>
            <w:shd w:val="clear" w:color="auto" w:fill="F2F2F2" w:themeFill="background1" w:themeFillShade="F2"/>
          </w:tcPr>
          <w:p w:rsidR="00E04C09" w:rsidRPr="008337FB" w:rsidRDefault="008337FB" w:rsidP="00E04C09">
            <w:pPr>
              <w:widowControl w:val="0"/>
              <w:spacing w:after="0" w:line="240" w:lineRule="exact"/>
              <w:ind w:left="57"/>
              <w:rPr>
                <w:rFonts w:ascii="Arial" w:hAnsi="Arial" w:cs="Arial"/>
                <w:b/>
                <w:sz w:val="20"/>
                <w:szCs w:val="20"/>
              </w:rPr>
            </w:pPr>
            <w:r w:rsidRPr="008337FB">
              <w:rPr>
                <w:rFonts w:ascii="Arial" w:hAnsi="Arial" w:cs="Arial"/>
                <w:b/>
                <w:sz w:val="20"/>
                <w:szCs w:val="20"/>
              </w:rPr>
              <w:t>Störungen und Gefahren</w:t>
            </w:r>
          </w:p>
        </w:tc>
      </w:tr>
      <w:tr w:rsidR="00E04C09" w:rsidRPr="000015BD" w:rsidTr="00E47F3B">
        <w:tc>
          <w:tcPr>
            <w:tcW w:w="921" w:type="dxa"/>
            <w:shd w:val="clear" w:color="auto" w:fill="F2F2F2" w:themeFill="background1" w:themeFillShade="F2"/>
          </w:tcPr>
          <w:p w:rsidR="00E04C09" w:rsidRPr="000015BD" w:rsidRDefault="00E04C09" w:rsidP="00E04C09">
            <w:pPr>
              <w:spacing w:after="0" w:line="240" w:lineRule="atLeast"/>
              <w:ind w:left="57" w:right="57"/>
              <w:rPr>
                <w:rFonts w:ascii="Arial" w:hAnsi="Arial" w:cs="Arial"/>
                <w:sz w:val="16"/>
                <w:szCs w:val="16"/>
              </w:rPr>
            </w:pPr>
          </w:p>
        </w:tc>
        <w:tc>
          <w:tcPr>
            <w:tcW w:w="8788" w:type="dxa"/>
            <w:shd w:val="clear" w:color="auto" w:fill="F2F2F2" w:themeFill="background1" w:themeFillShade="F2"/>
          </w:tcPr>
          <w:p w:rsidR="00E04C09"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Sicherer Betrieb ist nur bei grüner Leuchtanzeige und heruntergeklappter Frontscheibe möglich. Alarmanzeigen niemals ignorieren.</w:t>
            </w:r>
          </w:p>
          <w:p w:rsidR="00731D48" w:rsidRPr="000015BD" w:rsidRDefault="00731D48" w:rsidP="00E04C09">
            <w:pPr>
              <w:widowControl w:val="0"/>
              <w:spacing w:after="0" w:line="240" w:lineRule="exact"/>
              <w:ind w:left="57" w:right="57"/>
              <w:rPr>
                <w:rFonts w:ascii="Arial" w:hAnsi="Arial" w:cs="Arial"/>
                <w:sz w:val="16"/>
                <w:szCs w:val="16"/>
              </w:rPr>
            </w:pPr>
          </w:p>
          <w:p w:rsidR="00E04C09" w:rsidRPr="000015BD" w:rsidRDefault="00E04C09" w:rsidP="00E04C09">
            <w:pPr>
              <w:widowControl w:val="0"/>
              <w:spacing w:after="0" w:line="240" w:lineRule="exact"/>
              <w:ind w:left="57" w:right="57"/>
              <w:rPr>
                <w:rFonts w:ascii="Arial" w:hAnsi="Arial" w:cs="Arial"/>
                <w:b/>
                <w:sz w:val="16"/>
                <w:szCs w:val="16"/>
              </w:rPr>
            </w:pPr>
            <w:r w:rsidRPr="000015BD">
              <w:rPr>
                <w:rFonts w:ascii="Arial" w:hAnsi="Arial" w:cs="Arial"/>
                <w:b/>
                <w:sz w:val="16"/>
                <w:szCs w:val="16"/>
              </w:rPr>
              <w:t xml:space="preserve">Die Werkbank bietet keinen Schutz gegen gesundheitsschädliche Gase und Dämpfe. </w:t>
            </w:r>
          </w:p>
          <w:p w:rsidR="00E04C09"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Bei komplettem Funktionsausfall während des Arbeitens mit biologischen Arbeitsstoffen mit Gefährdungspotential sind die Arbeiten (kontrolliert) zu stoppen. Die Vorgesetzten sowie die Beauftragten für biologische Sicherheit sind umgehend zu informieren.</w:t>
            </w:r>
          </w:p>
          <w:p w:rsidR="00731D48" w:rsidRPr="000015BD" w:rsidRDefault="00731D48" w:rsidP="00E04C09">
            <w:pPr>
              <w:widowControl w:val="0"/>
              <w:spacing w:after="0" w:line="240" w:lineRule="exact"/>
              <w:ind w:left="57" w:right="57"/>
              <w:rPr>
                <w:rFonts w:ascii="Arial" w:hAnsi="Arial" w:cs="Arial"/>
                <w:sz w:val="16"/>
                <w:szCs w:val="16"/>
              </w:rPr>
            </w:pPr>
          </w:p>
          <w:p w:rsidR="00E04C09"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Bei optischem und akustischem Alarm ist die Ursache der Störung erforderlichenfalls unter Zuhilfenahme der Betriebsanleitung festzustellen und nach Möglichkeit selbst zu beseitigen (z.B. durch korrekte Positionierung der Frontscheibe). Ist eine Störungsbeseitigung nicht möglich bzw. nicht erfolgreich, ist die verantwortliche Person gemäss Wartungsplan zu verständigen.</w:t>
            </w:r>
          </w:p>
          <w:p w:rsidR="00731D48" w:rsidRPr="000015BD" w:rsidRDefault="00731D48" w:rsidP="00E04C09">
            <w:pPr>
              <w:widowControl w:val="0"/>
              <w:spacing w:after="0" w:line="240" w:lineRule="exact"/>
              <w:ind w:left="57" w:right="57"/>
              <w:rPr>
                <w:rFonts w:ascii="Arial" w:hAnsi="Arial" w:cs="Arial"/>
                <w:sz w:val="16"/>
                <w:szCs w:val="16"/>
              </w:rPr>
            </w:pPr>
          </w:p>
        </w:tc>
      </w:tr>
      <w:tr w:rsidR="00E04C09" w:rsidRPr="000015BD" w:rsidTr="00E47F3B">
        <w:tc>
          <w:tcPr>
            <w:tcW w:w="921" w:type="dxa"/>
            <w:shd w:val="clear" w:color="auto" w:fill="F2F2F2" w:themeFill="background1" w:themeFillShade="F2"/>
          </w:tcPr>
          <w:p w:rsidR="00E04C09" w:rsidRPr="000015BD" w:rsidRDefault="00E04C09" w:rsidP="00E04C09">
            <w:pPr>
              <w:spacing w:after="0" w:line="240" w:lineRule="atLeast"/>
              <w:ind w:left="57" w:right="57"/>
              <w:rPr>
                <w:rFonts w:ascii="Arial" w:hAnsi="Arial" w:cs="Arial"/>
                <w:sz w:val="16"/>
                <w:szCs w:val="16"/>
              </w:rPr>
            </w:pPr>
          </w:p>
        </w:tc>
        <w:tc>
          <w:tcPr>
            <w:tcW w:w="8788" w:type="dxa"/>
            <w:shd w:val="clear" w:color="auto" w:fill="F2F2F2" w:themeFill="background1" w:themeFillShade="F2"/>
          </w:tcPr>
          <w:p w:rsidR="00731D48" w:rsidRDefault="00E04C09" w:rsidP="00E877C5">
            <w:pPr>
              <w:widowControl w:val="0"/>
              <w:spacing w:after="0" w:line="240" w:lineRule="exact"/>
              <w:ind w:left="57" w:right="57"/>
              <w:rPr>
                <w:rFonts w:ascii="Arial" w:hAnsi="Arial" w:cs="Arial"/>
                <w:sz w:val="16"/>
                <w:szCs w:val="16"/>
              </w:rPr>
            </w:pPr>
            <w:r w:rsidRPr="000015BD">
              <w:rPr>
                <w:rFonts w:ascii="Arial" w:hAnsi="Arial" w:cs="Arial"/>
                <w:sz w:val="16"/>
                <w:szCs w:val="16"/>
              </w:rPr>
              <w:t>Wird angezeigt, dass der Vor- oder der HEPA-Filter zu wechseln ist (Alarmanzeige ohne Warnton) sind die Arbeiten weiterzuführen und die verantwortliche Person gemäss Wartungsplan zu verständigen, damit neue Filter bestellt werden können.</w:t>
            </w:r>
          </w:p>
          <w:p w:rsidR="00E877C5" w:rsidRPr="00E877C5" w:rsidRDefault="00E877C5" w:rsidP="00E877C5">
            <w:pPr>
              <w:widowControl w:val="0"/>
              <w:spacing w:after="0" w:line="240" w:lineRule="exact"/>
              <w:ind w:left="57" w:right="57"/>
              <w:rPr>
                <w:rFonts w:ascii="Arial" w:hAnsi="Arial" w:cs="Arial"/>
                <w:sz w:val="16"/>
                <w:szCs w:val="16"/>
              </w:rPr>
            </w:pPr>
          </w:p>
          <w:p w:rsidR="00E04C09" w:rsidRDefault="00E04C09" w:rsidP="00E04C09">
            <w:pPr>
              <w:widowControl w:val="0"/>
              <w:spacing w:after="0" w:line="240" w:lineRule="exact"/>
              <w:ind w:left="57" w:right="57"/>
              <w:rPr>
                <w:rFonts w:ascii="Arial" w:hAnsi="Arial" w:cs="Arial"/>
                <w:sz w:val="16"/>
                <w:szCs w:val="16"/>
              </w:rPr>
            </w:pPr>
            <w:r w:rsidRPr="000015BD">
              <w:rPr>
                <w:rFonts w:ascii="Arial" w:hAnsi="Arial" w:cs="Arial"/>
                <w:sz w:val="16"/>
                <w:szCs w:val="16"/>
              </w:rPr>
              <w:t>Bei gleicher Anzeige mit Warnton sind die Arbeiten kontrolliert zu beenden und die verantwortliche Person gemäss Wartungsplan ist zu verständigen.</w:t>
            </w:r>
          </w:p>
          <w:p w:rsidR="00731D48" w:rsidRPr="000015BD" w:rsidRDefault="00731D48" w:rsidP="00E04C09">
            <w:pPr>
              <w:widowControl w:val="0"/>
              <w:spacing w:after="0" w:line="240" w:lineRule="exact"/>
              <w:ind w:left="57" w:right="57"/>
              <w:rPr>
                <w:rFonts w:ascii="Arial" w:hAnsi="Arial" w:cs="Arial"/>
                <w:b/>
                <w:sz w:val="16"/>
                <w:szCs w:val="16"/>
              </w:rPr>
            </w:pPr>
          </w:p>
        </w:tc>
      </w:tr>
      <w:tr w:rsidR="00E04C09" w:rsidRPr="000015BD" w:rsidTr="00E47F3B">
        <w:tc>
          <w:tcPr>
            <w:tcW w:w="921" w:type="dxa"/>
            <w:vMerge w:val="restart"/>
            <w:shd w:val="clear" w:color="auto" w:fill="F2F2F2" w:themeFill="background1" w:themeFillShade="F2"/>
          </w:tcPr>
          <w:p w:rsidR="00E04C09" w:rsidRPr="000015BD" w:rsidRDefault="00E04C09" w:rsidP="00E04C09">
            <w:pPr>
              <w:spacing w:after="0" w:line="240" w:lineRule="atLeast"/>
              <w:ind w:left="57" w:right="57"/>
              <w:rPr>
                <w:rFonts w:ascii="Arial" w:hAnsi="Arial" w:cs="Arial"/>
                <w:sz w:val="16"/>
                <w:szCs w:val="16"/>
              </w:rPr>
            </w:pPr>
          </w:p>
        </w:tc>
        <w:tc>
          <w:tcPr>
            <w:tcW w:w="8788" w:type="dxa"/>
            <w:shd w:val="clear" w:color="auto" w:fill="F2F2F2" w:themeFill="background1" w:themeFillShade="F2"/>
          </w:tcPr>
          <w:p w:rsidR="00E04C09" w:rsidRPr="00731D48" w:rsidRDefault="00E04C09" w:rsidP="00E04C09">
            <w:pPr>
              <w:widowControl w:val="0"/>
              <w:spacing w:after="0" w:line="240" w:lineRule="exact"/>
              <w:ind w:left="57"/>
              <w:rPr>
                <w:rFonts w:ascii="Arial" w:hAnsi="Arial" w:cs="Arial"/>
                <w:b/>
                <w:sz w:val="20"/>
                <w:szCs w:val="20"/>
              </w:rPr>
            </w:pPr>
            <w:r w:rsidRPr="00731D48">
              <w:rPr>
                <w:rFonts w:ascii="Arial" w:hAnsi="Arial" w:cs="Arial"/>
                <w:b/>
                <w:sz w:val="20"/>
                <w:szCs w:val="20"/>
              </w:rPr>
              <w:t>Prüfungen / Instandhaltungen / Entsorgung</w:t>
            </w:r>
          </w:p>
        </w:tc>
      </w:tr>
      <w:tr w:rsidR="00E04C09" w:rsidRPr="000015BD" w:rsidTr="00E47F3B">
        <w:tc>
          <w:tcPr>
            <w:tcW w:w="921" w:type="dxa"/>
            <w:vMerge/>
            <w:shd w:val="clear" w:color="auto" w:fill="F2F2F2" w:themeFill="background1" w:themeFillShade="F2"/>
          </w:tcPr>
          <w:p w:rsidR="00E04C09" w:rsidRPr="000015BD" w:rsidRDefault="00E04C09" w:rsidP="00E04C09">
            <w:pPr>
              <w:spacing w:after="0" w:line="240" w:lineRule="atLeast"/>
              <w:ind w:left="57" w:right="57"/>
              <w:rPr>
                <w:rFonts w:ascii="Arial" w:hAnsi="Arial" w:cs="Arial"/>
                <w:sz w:val="16"/>
                <w:szCs w:val="16"/>
              </w:rPr>
            </w:pPr>
          </w:p>
        </w:tc>
        <w:tc>
          <w:tcPr>
            <w:tcW w:w="8788" w:type="dxa"/>
            <w:shd w:val="clear" w:color="auto" w:fill="F2F2F2" w:themeFill="background1" w:themeFillShade="F2"/>
          </w:tcPr>
          <w:p w:rsidR="00E04C09" w:rsidRPr="000015BD" w:rsidRDefault="00E04C09" w:rsidP="00E04C09">
            <w:pPr>
              <w:spacing w:after="0" w:line="240" w:lineRule="exact"/>
              <w:ind w:left="57" w:right="57"/>
              <w:rPr>
                <w:rFonts w:ascii="Arial" w:hAnsi="Arial" w:cs="Arial"/>
                <w:sz w:val="16"/>
                <w:szCs w:val="16"/>
              </w:rPr>
            </w:pPr>
            <w:r w:rsidRPr="000015BD">
              <w:rPr>
                <w:rFonts w:ascii="Arial" w:hAnsi="Arial" w:cs="Arial"/>
                <w:sz w:val="16"/>
                <w:szCs w:val="16"/>
              </w:rPr>
              <w:t xml:space="preserve">Wartungs- und Instandsetzungsarbeiten dürfen nur mit Erlaubnis des Laborleiters durchgeführt werden und sind in der Regel vom Hersteller auszuführen. </w:t>
            </w:r>
          </w:p>
          <w:p w:rsidR="00E04C09" w:rsidRPr="000015BD" w:rsidRDefault="00E04C09" w:rsidP="00E04C09">
            <w:pPr>
              <w:spacing w:after="0" w:line="240" w:lineRule="exact"/>
              <w:ind w:left="57" w:right="57"/>
              <w:rPr>
                <w:rFonts w:ascii="Arial" w:hAnsi="Arial" w:cs="Arial"/>
                <w:sz w:val="16"/>
                <w:szCs w:val="16"/>
              </w:rPr>
            </w:pPr>
            <w:r w:rsidRPr="000015BD">
              <w:rPr>
                <w:rFonts w:ascii="Arial" w:hAnsi="Arial" w:cs="Arial"/>
                <w:sz w:val="16"/>
                <w:szCs w:val="16"/>
              </w:rPr>
              <w:t>Die Sicherheitswerkbank ist jährlich durch einen Fachkundigen prüfen zu lassen (siehe Wartungsplan).</w:t>
            </w:r>
          </w:p>
          <w:p w:rsidR="00E04C09" w:rsidRPr="000015BD" w:rsidRDefault="00E04C09" w:rsidP="00E04C09">
            <w:pPr>
              <w:spacing w:after="0" w:line="240" w:lineRule="exact"/>
              <w:ind w:left="57" w:right="57"/>
              <w:rPr>
                <w:rFonts w:ascii="Arial" w:hAnsi="Arial" w:cs="Arial"/>
                <w:sz w:val="16"/>
                <w:szCs w:val="16"/>
              </w:rPr>
            </w:pPr>
            <w:r w:rsidRPr="000015BD">
              <w:rPr>
                <w:rFonts w:ascii="Arial" w:hAnsi="Arial" w:cs="Arial"/>
                <w:sz w:val="16"/>
                <w:szCs w:val="16"/>
              </w:rPr>
              <w:t>Für die Instandhaltung dürfen nur Ersatzteile verwendet werden, die in Werkstoff und Gestaltung den Originalteilen entsprechen.</w:t>
            </w:r>
          </w:p>
        </w:tc>
      </w:tr>
      <w:tr w:rsidR="00E04C09" w:rsidRPr="000015BD" w:rsidTr="000015BD">
        <w:tc>
          <w:tcPr>
            <w:tcW w:w="921" w:type="dxa"/>
            <w:vMerge w:val="restart"/>
          </w:tcPr>
          <w:p w:rsidR="00E04C09" w:rsidRPr="000015BD" w:rsidRDefault="00E04C09" w:rsidP="00E04C09">
            <w:pPr>
              <w:spacing w:after="0" w:line="240" w:lineRule="atLeast"/>
              <w:ind w:left="57" w:right="57"/>
              <w:rPr>
                <w:rFonts w:ascii="Arial" w:hAnsi="Arial" w:cs="Arial"/>
                <w:sz w:val="16"/>
                <w:szCs w:val="16"/>
              </w:rPr>
            </w:pPr>
            <w:r w:rsidRPr="000015BD">
              <w:rPr>
                <w:rFonts w:ascii="Arial" w:hAnsi="Arial" w:cs="Arial"/>
                <w:noProof/>
                <w:sz w:val="16"/>
                <w:szCs w:val="16"/>
                <w:lang w:eastAsia="de-CH"/>
              </w:rPr>
              <w:drawing>
                <wp:inline distT="0" distB="0" distL="0" distR="0" wp14:anchorId="0FE684AD" wp14:editId="197C9AC5">
                  <wp:extent cx="413385" cy="413385"/>
                  <wp:effectExtent l="0" t="0" r="0" b="0"/>
                  <wp:docPr id="5" name="Bild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413385"/>
                          </a:xfrm>
                          <a:prstGeom prst="rect">
                            <a:avLst/>
                          </a:prstGeom>
                          <a:noFill/>
                          <a:ln>
                            <a:noFill/>
                          </a:ln>
                        </pic:spPr>
                      </pic:pic>
                    </a:graphicData>
                  </a:graphic>
                </wp:inline>
              </w:drawing>
            </w:r>
          </w:p>
        </w:tc>
        <w:tc>
          <w:tcPr>
            <w:tcW w:w="8788" w:type="dxa"/>
          </w:tcPr>
          <w:p w:rsidR="00E04C09" w:rsidRPr="008337FB" w:rsidRDefault="00E04C09" w:rsidP="00E04C09">
            <w:pPr>
              <w:widowControl w:val="0"/>
              <w:spacing w:after="0" w:line="240" w:lineRule="exact"/>
              <w:ind w:left="57"/>
              <w:rPr>
                <w:rFonts w:ascii="Arial" w:hAnsi="Arial" w:cs="Arial"/>
                <w:b/>
                <w:sz w:val="20"/>
                <w:szCs w:val="20"/>
              </w:rPr>
            </w:pPr>
            <w:r w:rsidRPr="008337FB">
              <w:rPr>
                <w:rFonts w:ascii="Arial" w:hAnsi="Arial" w:cs="Arial"/>
                <w:b/>
                <w:sz w:val="20"/>
                <w:szCs w:val="20"/>
              </w:rPr>
              <w:t>Unfälle und erste Hilfe</w:t>
            </w:r>
          </w:p>
        </w:tc>
      </w:tr>
      <w:tr w:rsidR="00E04C09" w:rsidRPr="000015BD" w:rsidTr="000015BD">
        <w:tc>
          <w:tcPr>
            <w:tcW w:w="921" w:type="dxa"/>
            <w:vMerge/>
          </w:tcPr>
          <w:p w:rsidR="00E04C09" w:rsidRPr="000015BD" w:rsidRDefault="00E04C09" w:rsidP="00E04C09">
            <w:pPr>
              <w:spacing w:after="0" w:line="240" w:lineRule="atLeast"/>
              <w:ind w:left="57" w:right="57"/>
              <w:rPr>
                <w:rFonts w:ascii="Arial" w:hAnsi="Arial" w:cs="Arial"/>
                <w:sz w:val="16"/>
                <w:szCs w:val="16"/>
              </w:rPr>
            </w:pPr>
          </w:p>
        </w:tc>
        <w:tc>
          <w:tcPr>
            <w:tcW w:w="8788" w:type="dxa"/>
          </w:tcPr>
          <w:p w:rsidR="00E04C09" w:rsidRPr="000015BD" w:rsidRDefault="00E04C09" w:rsidP="00E04C09">
            <w:pPr>
              <w:spacing w:after="0" w:line="240" w:lineRule="exact"/>
              <w:ind w:left="57" w:right="57"/>
              <w:rPr>
                <w:rFonts w:ascii="Arial" w:hAnsi="Arial" w:cs="Arial"/>
                <w:sz w:val="16"/>
                <w:szCs w:val="16"/>
              </w:rPr>
            </w:pPr>
            <w:r w:rsidRPr="000015BD">
              <w:rPr>
                <w:rFonts w:ascii="Arial" w:hAnsi="Arial" w:cs="Arial"/>
                <w:sz w:val="16"/>
                <w:szCs w:val="16"/>
              </w:rPr>
              <w:t xml:space="preserve">Offene Wunde ausspülen, möglichst ausbluten lassen und sofort mit </w:t>
            </w:r>
            <w:r w:rsidRPr="00830BF0">
              <w:rPr>
                <w:rFonts w:ascii="Arial" w:hAnsi="Arial" w:cs="Arial"/>
                <w:b/>
                <w:color w:val="6C9051" w:themeColor="accent2" w:themeShade="BF"/>
                <w:sz w:val="16"/>
                <w:szCs w:val="16"/>
              </w:rPr>
              <w:t xml:space="preserve">Desinfektionsmittel </w:t>
            </w:r>
            <w:r w:rsidRPr="000015BD">
              <w:rPr>
                <w:rFonts w:ascii="Arial" w:hAnsi="Arial" w:cs="Arial"/>
                <w:sz w:val="16"/>
                <w:szCs w:val="16"/>
              </w:rPr>
              <w:t xml:space="preserve">einsprühen. Desinfektionsmittel falls notwendig nachdosieren und nach Vorschrift, mindestens jedoch 30 Minuten einwirken lassen. </w:t>
            </w:r>
          </w:p>
          <w:p w:rsidR="00E04C09" w:rsidRPr="000015BD" w:rsidRDefault="00E04C09" w:rsidP="00D039E4">
            <w:pPr>
              <w:spacing w:after="0" w:line="240" w:lineRule="exact"/>
              <w:ind w:left="57" w:right="57"/>
              <w:rPr>
                <w:rFonts w:ascii="Arial" w:hAnsi="Arial" w:cs="Arial"/>
                <w:sz w:val="16"/>
                <w:szCs w:val="16"/>
              </w:rPr>
            </w:pPr>
            <w:r w:rsidRPr="000015BD">
              <w:rPr>
                <w:rFonts w:ascii="Arial" w:hAnsi="Arial" w:cs="Arial"/>
                <w:sz w:val="16"/>
                <w:szCs w:val="16"/>
              </w:rPr>
              <w:t>Wenn erforderlich ist die S</w:t>
            </w:r>
            <w:r w:rsidR="00D039E4">
              <w:rPr>
                <w:rFonts w:ascii="Arial" w:hAnsi="Arial" w:cs="Arial"/>
                <w:sz w:val="16"/>
                <w:szCs w:val="16"/>
              </w:rPr>
              <w:t>anität oder ein Arzt bzw. eine Ä</w:t>
            </w:r>
            <w:r w:rsidRPr="000015BD">
              <w:rPr>
                <w:rFonts w:ascii="Arial" w:hAnsi="Arial" w:cs="Arial"/>
                <w:sz w:val="16"/>
                <w:szCs w:val="16"/>
              </w:rPr>
              <w:t xml:space="preserve">rztin zu alarmieren. Beachte </w:t>
            </w:r>
            <w:r w:rsidRPr="000015BD">
              <w:rPr>
                <w:rFonts w:ascii="Arial" w:hAnsi="Arial" w:cs="Arial"/>
                <w:i/>
                <w:sz w:val="16"/>
                <w:szCs w:val="16"/>
              </w:rPr>
              <w:t>Notfallplanung: Vorgehen bei Laborzwischenfällen</w:t>
            </w:r>
            <w:r w:rsidRPr="000015BD">
              <w:rPr>
                <w:rFonts w:ascii="Arial" w:hAnsi="Arial" w:cs="Arial"/>
                <w:sz w:val="16"/>
                <w:szCs w:val="16"/>
              </w:rPr>
              <w:t xml:space="preserve">. </w:t>
            </w:r>
            <w:r w:rsidRPr="000015BD">
              <w:rPr>
                <w:rFonts w:ascii="Arial" w:hAnsi="Arial" w:cs="Arial"/>
                <w:i/>
                <w:sz w:val="16"/>
                <w:szCs w:val="16"/>
              </w:rPr>
              <w:t xml:space="preserve">Meldeblatt für Laborzwischenfälle </w:t>
            </w:r>
            <w:r w:rsidRPr="000015BD">
              <w:rPr>
                <w:rFonts w:ascii="Arial" w:hAnsi="Arial" w:cs="Arial"/>
                <w:sz w:val="16"/>
                <w:szCs w:val="16"/>
              </w:rPr>
              <w:t>ausfüllen und Vorgesetzte sowie Biosicherheitsbeauftragte informieren.</w:t>
            </w:r>
          </w:p>
        </w:tc>
      </w:tr>
    </w:tbl>
    <w:p w:rsidR="00E877C5" w:rsidRDefault="00E877C5" w:rsidP="00592236">
      <w:pPr>
        <w:pStyle w:val="05BAFUGrundschriftAufzhlung"/>
        <w:numPr>
          <w:ilvl w:val="0"/>
          <w:numId w:val="0"/>
        </w:numPr>
        <w:ind w:left="360"/>
      </w:pPr>
    </w:p>
    <w:tbl>
      <w:tblPr>
        <w:tblStyle w:val="Gitternetztabelle2"/>
        <w:tblW w:w="9897" w:type="dxa"/>
        <w:tblLayout w:type="fixed"/>
        <w:tblCellMar>
          <w:left w:w="57" w:type="dxa"/>
          <w:right w:w="57" w:type="dxa"/>
        </w:tblCellMar>
        <w:tblLook w:val="04A0" w:firstRow="1" w:lastRow="0" w:firstColumn="1" w:lastColumn="0" w:noHBand="0" w:noVBand="1"/>
      </w:tblPr>
      <w:tblGrid>
        <w:gridCol w:w="2410"/>
        <w:gridCol w:w="7487"/>
      </w:tblGrid>
      <w:tr w:rsidR="00203AE3" w:rsidRPr="00843E20" w:rsidTr="00592236">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bottom w:val="nil"/>
              <w:right w:val="single" w:sz="4" w:space="0" w:color="FFFFFF" w:themeColor="background1"/>
            </w:tcBorders>
            <w:shd w:val="clear" w:color="auto" w:fill="F2F2F2" w:themeFill="background1" w:themeFillShade="F2"/>
            <w:vAlign w:val="center"/>
          </w:tcPr>
          <w:p w:rsidR="00203AE3" w:rsidRPr="00CF6289" w:rsidRDefault="00203AE3" w:rsidP="005C05FC">
            <w:pPr>
              <w:pStyle w:val="07BAFUTabellelinks"/>
            </w:pPr>
            <w:proofErr w:type="spellStart"/>
            <w:r w:rsidRPr="00DB2A08">
              <w:rPr>
                <w:color w:val="6C9051" w:themeColor="accent2" w:themeShade="BF"/>
              </w:rPr>
              <w:t>Verfasst</w:t>
            </w:r>
            <w:proofErr w:type="spellEnd"/>
            <w:r w:rsidRPr="00DB2A08">
              <w:rPr>
                <w:color w:val="6C9051" w:themeColor="accent2" w:themeShade="BF"/>
              </w:rPr>
              <w:t xml:space="preserve"> / </w:t>
            </w:r>
            <w:proofErr w:type="spellStart"/>
            <w:r w:rsidRPr="00DB2A08">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203AE3" w:rsidRPr="00CF6289" w:rsidRDefault="00203AE3" w:rsidP="005C05FC">
            <w:pPr>
              <w:pStyle w:val="07BAFUTabellelinks"/>
              <w:cnfStyle w:val="100000000000" w:firstRow="1" w:lastRow="0" w:firstColumn="0" w:lastColumn="0" w:oddVBand="0" w:evenVBand="0" w:oddHBand="0" w:evenHBand="0" w:firstRowFirstColumn="0" w:firstRowLastColumn="0" w:lastRowFirstColumn="0" w:lastRowLastColumn="0"/>
            </w:pPr>
          </w:p>
        </w:tc>
      </w:tr>
      <w:tr w:rsidR="00203AE3" w:rsidRPr="00843E20" w:rsidTr="00592236">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bottom w:val="nil"/>
              <w:right w:val="single" w:sz="4" w:space="0" w:color="FFFFFF" w:themeColor="background1"/>
            </w:tcBorders>
            <w:vAlign w:val="center"/>
          </w:tcPr>
          <w:p w:rsidR="00203AE3" w:rsidRPr="00CF6289" w:rsidRDefault="00203AE3" w:rsidP="005C05FC">
            <w:pPr>
              <w:pStyle w:val="07BAFUTabellelinks"/>
            </w:pPr>
            <w:bookmarkStart w:id="1" w:name="_GoBack"/>
            <w:r w:rsidRPr="00DB2A08">
              <w:rPr>
                <w:color w:val="6C9051" w:themeColor="accent2" w:themeShade="BF"/>
              </w:rPr>
              <w:t>Datum</w:t>
            </w:r>
            <w:bookmarkEnd w:id="1"/>
          </w:p>
        </w:tc>
        <w:tc>
          <w:tcPr>
            <w:tcW w:w="7487" w:type="dxa"/>
            <w:tcBorders>
              <w:top w:val="nil"/>
              <w:bottom w:val="nil"/>
              <w:right w:val="single" w:sz="4" w:space="0" w:color="FFFFFF" w:themeColor="background1"/>
            </w:tcBorders>
          </w:tcPr>
          <w:p w:rsidR="00203AE3" w:rsidRPr="00CF6289" w:rsidRDefault="00203AE3" w:rsidP="005C05FC">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B0862">
      <w:pPr>
        <w:pStyle w:val="05BAFUGrundschriftAufzhlung"/>
        <w:numPr>
          <w:ilvl w:val="0"/>
          <w:numId w:val="0"/>
        </w:numPr>
      </w:pPr>
    </w:p>
    <w:sectPr w:rsidR="000E0AFD" w:rsidRPr="004E03D2" w:rsidSect="004E03D2">
      <w:headerReference w:type="default" r:id="rId13"/>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E877C5" w:rsidRDefault="008263A1" w:rsidP="00E877C5">
    <w:pPr>
      <w:pStyle w:val="99BAFUKopfzeileGrau"/>
    </w:pPr>
    <w:r w:rsidRPr="00E877C5">
      <w:rPr>
        <w:noProof/>
      </w:rPr>
      <w:t xml:space="preserve">Anhang </w:t>
    </w:r>
    <w:r w:rsidR="00043DAA" w:rsidRPr="00E877C5">
      <w:rPr>
        <w:noProof/>
      </w:rPr>
      <w:t>10</w:t>
    </w:r>
    <w:r w:rsidRPr="00E877C5">
      <w:rPr>
        <w:noProof/>
      </w:rPr>
      <w:t>. Betriebliches Sicherheitskonzept nach der Einschliessungsverordnung (ESV)</w:t>
    </w:r>
    <w:r w:rsidRPr="00E877C5">
      <w:rPr>
        <w:rStyle w:val="99Kopfzeilegrau"/>
        <w:color w:val="auto"/>
      </w:rPr>
      <w:t xml:space="preserve"> </w:t>
    </w:r>
    <w:r w:rsidRPr="00E877C5">
      <w:rPr>
        <w:rStyle w:val="99Kopfzeilegrau"/>
      </w:rPr>
      <w:t>© BAFU 2019</w:t>
    </w:r>
    <w:r w:rsidRPr="00E877C5">
      <w:tab/>
    </w:r>
    <w:r w:rsidRPr="00E877C5">
      <w:fldChar w:fldCharType="begin"/>
    </w:r>
    <w:r w:rsidRPr="00E877C5">
      <w:instrText>PAGE   \* MERGEFORMAT</w:instrText>
    </w:r>
    <w:r w:rsidRPr="00E877C5">
      <w:fldChar w:fldCharType="separate"/>
    </w:r>
    <w:r w:rsidR="00DB2A08">
      <w:rPr>
        <w:noProof/>
      </w:rPr>
      <w:t>2</w:t>
    </w:r>
    <w:r w:rsidRPr="00E877C5">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4236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2D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011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4E0F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58E4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EA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64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3A0A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3EB3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F8C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singleLevel"/>
    <w:tmpl w:val="00000000"/>
    <w:lvl w:ilvl="0">
      <w:numFmt w:val="bullet"/>
      <w:lvlText w:val=""/>
      <w:lvlJc w:val="left"/>
      <w:pPr>
        <w:tabs>
          <w:tab w:val="num" w:pos="697"/>
        </w:tabs>
        <w:ind w:left="697" w:hanging="360"/>
      </w:pPr>
      <w:rPr>
        <w:rFonts w:ascii="Symbol" w:hAnsi="Symbol" w:hint="default"/>
      </w:rPr>
    </w:lvl>
  </w:abstractNum>
  <w:abstractNum w:abstractNumId="12" w15:restartNumberingAfterBreak="0">
    <w:nsid w:val="00000008"/>
    <w:multiLevelType w:val="singleLevel"/>
    <w:tmpl w:val="000F0407"/>
    <w:lvl w:ilvl="0">
      <w:start w:val="1"/>
      <w:numFmt w:val="decimal"/>
      <w:lvlText w:val="%1."/>
      <w:lvlJc w:val="left"/>
      <w:pPr>
        <w:tabs>
          <w:tab w:val="num" w:pos="720"/>
        </w:tabs>
        <w:ind w:left="720" w:hanging="360"/>
      </w:pPr>
    </w:lvl>
  </w:abstractNum>
  <w:abstractNum w:abstractNumId="13"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08D504AD"/>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0B10165B"/>
    <w:multiLevelType w:val="hybridMultilevel"/>
    <w:tmpl w:val="B6520BF6"/>
    <w:lvl w:ilvl="0" w:tplc="CB38C6AE">
      <w:start w:val="1"/>
      <w:numFmt w:val="decimal"/>
      <w:lvlText w:val="%1  "/>
      <w:lvlJc w:val="left"/>
      <w:pPr>
        <w:ind w:left="36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0FBB3221"/>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1AA85DA8"/>
    <w:multiLevelType w:val="hybridMultilevel"/>
    <w:tmpl w:val="864CA55E"/>
    <w:lvl w:ilvl="0" w:tplc="79123ED8">
      <w:start w:val="1"/>
      <w:numFmt w:val="decimal"/>
      <w:lvlText w:val="%1  "/>
      <w:lvlJc w:val="left"/>
      <w:pPr>
        <w:ind w:left="72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1D32364D"/>
    <w:multiLevelType w:val="hybridMultilevel"/>
    <w:tmpl w:val="4E884508"/>
    <w:lvl w:ilvl="0" w:tplc="25F23658">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22E56732"/>
    <w:multiLevelType w:val="hybridMultilevel"/>
    <w:tmpl w:val="8A961A96"/>
    <w:lvl w:ilvl="0" w:tplc="F8BCD6C2">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4120E816">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24382D46"/>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3" w15:restartNumberingAfterBreak="0">
    <w:nsid w:val="269D0DFF"/>
    <w:multiLevelType w:val="hybridMultilevel"/>
    <w:tmpl w:val="4A8E8E2C"/>
    <w:lvl w:ilvl="0" w:tplc="989895F0">
      <w:start w:val="1"/>
      <w:numFmt w:val="bullet"/>
      <w:lvlText w:val="–"/>
      <w:lvlJc w:val="left"/>
      <w:pPr>
        <w:ind w:left="720" w:hanging="360"/>
      </w:pPr>
      <w:rPr>
        <w:rFonts w:ascii="Times New Roman" w:hAnsi="Times New Roman"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2A8618D9"/>
    <w:multiLevelType w:val="hybridMultilevel"/>
    <w:tmpl w:val="D5A25C10"/>
    <w:lvl w:ilvl="0" w:tplc="C26C30C4">
      <w:start w:val="1"/>
      <w:numFmt w:val="bullet"/>
      <w:pStyle w:val="05BAFUGrundschriftAufzhlun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36162B4F"/>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363014C1"/>
    <w:multiLevelType w:val="hybridMultilevel"/>
    <w:tmpl w:val="DCA0A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373C31C9"/>
    <w:multiLevelType w:val="multilevel"/>
    <w:tmpl w:val="36F25648"/>
    <w:lvl w:ilvl="0">
      <w:start w:val="1"/>
      <w:numFmt w:val="decimal"/>
      <w:suff w:val="nothing"/>
      <w:lvlText w:val="%1  "/>
      <w:lvlJc w:val="left"/>
      <w:pPr>
        <w:ind w:left="0" w:firstLine="0"/>
      </w:pPr>
      <w:rPr>
        <w:rFonts w:ascii="Arial" w:hAnsi="Arial" w:hint="default"/>
        <w:b/>
        <w:i w:val="0"/>
        <w:color w:val="666666"/>
        <w:sz w:val="60"/>
      </w:rPr>
    </w:lvl>
    <w:lvl w:ilvl="1">
      <w:start w:val="1"/>
      <w:numFmt w:val="decimal"/>
      <w:suff w:val="nothing"/>
      <w:lvlText w:val="%1.%2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9" w15:restartNumberingAfterBreak="0">
    <w:nsid w:val="46B004D7"/>
    <w:multiLevelType w:val="hybridMultilevel"/>
    <w:tmpl w:val="D4429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4E7E73B5"/>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58613972"/>
    <w:multiLevelType w:val="hybridMultilevel"/>
    <w:tmpl w:val="5848197E"/>
    <w:lvl w:ilvl="0" w:tplc="F8BCD6C2">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60921B7C"/>
    <w:multiLevelType w:val="hybridMultilevel"/>
    <w:tmpl w:val="572EE09E"/>
    <w:lvl w:ilvl="0" w:tplc="989895F0">
      <w:start w:val="1"/>
      <w:numFmt w:val="bullet"/>
      <w:lvlText w:val="–"/>
      <w:lvlJc w:val="left"/>
      <w:pPr>
        <w:ind w:left="720" w:hanging="360"/>
      </w:pPr>
      <w:rPr>
        <w:rFonts w:ascii="Times New Roman" w:hAnsi="Times New Roman" w:cs="Times New Roman" w:hint="default"/>
      </w:rPr>
    </w:lvl>
    <w:lvl w:ilvl="1" w:tplc="0807000F">
      <w:start w:val="1"/>
      <w:numFmt w:val="decimal"/>
      <w:lvlText w:val="%2."/>
      <w:lvlJc w:val="left"/>
      <w:pPr>
        <w:ind w:left="1440" w:hanging="360"/>
      </w:pPr>
      <w:rPr>
        <w:rFonts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67DD5974"/>
    <w:multiLevelType w:val="hybridMultilevel"/>
    <w:tmpl w:val="2CB4414A"/>
    <w:lvl w:ilvl="0" w:tplc="5D2A9C8A">
      <w:start w:val="1"/>
      <w:numFmt w:val="decimal"/>
      <w:lvlText w:val="%1  "/>
      <w:lvlJc w:val="left"/>
      <w:pPr>
        <w:ind w:left="360" w:hanging="360"/>
      </w:pPr>
      <w:rPr>
        <w:rFonts w:hint="default"/>
        <w:color w:val="66666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4"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35" w15:restartNumberingAfterBreak="0">
    <w:nsid w:val="7B677FD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C658C0"/>
    <w:multiLevelType w:val="hybridMultilevel"/>
    <w:tmpl w:val="07C8F9E4"/>
    <w:lvl w:ilvl="0" w:tplc="08070019">
      <w:start w:val="1"/>
      <w:numFmt w:val="lowerLetter"/>
      <w:lvlText w:val="%1."/>
      <w:lvlJc w:val="left"/>
      <w:pPr>
        <w:ind w:left="360" w:hanging="360"/>
      </w:pPr>
      <w:rPr>
        <w:rFonts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DE22146"/>
    <w:multiLevelType w:val="hybridMultilevel"/>
    <w:tmpl w:val="BAEC90EE"/>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8" w15:restartNumberingAfterBreak="0">
    <w:nsid w:val="7FBF0E83"/>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15"/>
  </w:num>
  <w:num w:numId="4">
    <w:abstractNumId w:val="22"/>
  </w:num>
  <w:num w:numId="5">
    <w:abstractNumId w:val="35"/>
  </w:num>
  <w:num w:numId="6">
    <w:abstractNumId w:val="28"/>
  </w:num>
  <w:num w:numId="7">
    <w:abstractNumId w:val="28"/>
    <w:lvlOverride w:ilvl="0">
      <w:lvl w:ilvl="0">
        <w:start w:val="1"/>
        <w:numFmt w:val="decimal"/>
        <w:suff w:val="space"/>
        <w:lvlText w:val="%1  "/>
        <w:lvlJc w:val="left"/>
        <w:pPr>
          <w:ind w:left="0" w:firstLine="0"/>
        </w:pPr>
        <w:rPr>
          <w:rFonts w:ascii="Arial" w:hAnsi="Arial" w:hint="default"/>
          <w:b/>
          <w:i w:val="0"/>
          <w:color w:val="000000" w:themeColor="text1"/>
          <w:sz w:val="60"/>
        </w:rPr>
      </w:lvl>
    </w:lvlOverride>
    <w:lvlOverride w:ilvl="1">
      <w:lvl w:ilvl="1">
        <w:start w:val="1"/>
        <w:numFmt w:val="decimal"/>
        <w:suff w:val="space"/>
        <w:lvlText w:val="%1.%2"/>
        <w:lvlJc w:val="left"/>
        <w:pPr>
          <w:ind w:left="0" w:firstLine="0"/>
        </w:pPr>
        <w:rPr>
          <w:rFonts w:ascii="Arial" w:hAnsi="Arial" w:hint="default"/>
          <w:b/>
          <w:i w:val="0"/>
          <w:sz w:val="24"/>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ascii="Arial" w:hAnsi="Arial" w:hint="default"/>
          <w:b w:val="0"/>
          <w:i w:val="0"/>
          <w:sz w:val="20"/>
        </w:rPr>
      </w:lvl>
    </w:lvlOverride>
    <w:lvlOverride w:ilvl="4">
      <w:lvl w:ilvl="4">
        <w:start w:val="1"/>
        <w:numFmt w:val="decimal"/>
        <w:suff w:val="space"/>
        <w:lvlText w:val="%5."/>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8">
    <w:abstractNumId w:val="34"/>
  </w:num>
  <w:num w:numId="9">
    <w:abstractNumId w:val="9"/>
  </w:num>
  <w:num w:numId="10">
    <w:abstractNumId w:val="7"/>
  </w:num>
  <w:num w:numId="11">
    <w:abstractNumId w:val="6"/>
  </w:num>
  <w:num w:numId="12">
    <w:abstractNumId w:val="5"/>
  </w:num>
  <w:num w:numId="13">
    <w:abstractNumId w:val="4"/>
  </w:num>
  <w:num w:numId="14">
    <w:abstractNumId w:val="13"/>
  </w:num>
  <w:num w:numId="15">
    <w:abstractNumId w:val="23"/>
  </w:num>
  <w:num w:numId="16">
    <w:abstractNumId w:val="32"/>
  </w:num>
  <w:num w:numId="17">
    <w:abstractNumId w:val="17"/>
  </w:num>
  <w:num w:numId="18">
    <w:abstractNumId w:val="34"/>
    <w:lvlOverride w:ilvl="0">
      <w:lvl w:ilvl="0">
        <w:start w:val="1"/>
        <w:numFmt w:val="decimal"/>
        <w:pStyle w:val="01BAFUKapiteltitelnummeriert"/>
        <w:suff w:val="nothing"/>
        <w:lvlText w:val="%1  "/>
        <w:lvlJc w:val="left"/>
        <w:pPr>
          <w:ind w:left="0" w:firstLine="0"/>
        </w:pPr>
        <w:rPr>
          <w:rFonts w:ascii="Arial" w:hAnsi="Arial" w:hint="default"/>
          <w:b/>
          <w:i w:val="0"/>
          <w:color w:val="666666"/>
          <w:sz w:val="60"/>
        </w:rPr>
      </w:lvl>
    </w:lvlOverride>
    <w:lvlOverride w:ilvl="1">
      <w:lvl w:ilvl="1">
        <w:start w:val="1"/>
        <w:numFmt w:val="decimal"/>
        <w:suff w:val="nothing"/>
        <w:lvlText w:val="%1.%2  "/>
        <w:lvlJc w:val="left"/>
        <w:pPr>
          <w:ind w:left="0" w:firstLine="0"/>
        </w:pPr>
        <w:rPr>
          <w:rFonts w:ascii="Arial" w:hAnsi="Arial" w:hint="default"/>
          <w:b/>
          <w:i w:val="0"/>
          <w:sz w:val="24"/>
        </w:rPr>
      </w:lvl>
    </w:lvlOverride>
    <w:lvlOverride w:ilvl="2">
      <w:lvl w:ilvl="2">
        <w:start w:val="1"/>
        <w:numFmt w:val="decimal"/>
        <w:suff w:val="nothing"/>
        <w:lvlText w:val="%1.%2.%3  "/>
        <w:lvlJc w:val="left"/>
        <w:pPr>
          <w:ind w:left="0" w:firstLine="0"/>
        </w:pPr>
        <w:rPr>
          <w:rFonts w:hint="default"/>
        </w:rPr>
      </w:lvl>
    </w:lvlOverride>
    <w:lvlOverride w:ilvl="3">
      <w:lvl w:ilvl="3">
        <w:start w:val="1"/>
        <w:numFmt w:val="decimal"/>
        <w:suff w:val="nothing"/>
        <w:lvlText w:val="%1.%2.%3.%4  "/>
        <w:lvlJc w:val="left"/>
        <w:pPr>
          <w:ind w:left="0" w:firstLine="0"/>
        </w:pPr>
        <w:rPr>
          <w:rFonts w:ascii="Arial" w:hAnsi="Arial" w:hint="default"/>
          <w:b w:val="0"/>
          <w:i w:val="0"/>
          <w:sz w:val="20"/>
        </w:rPr>
      </w:lvl>
    </w:lvlOverride>
    <w:lvlOverride w:ilvl="4">
      <w:lvl w:ilvl="4">
        <w:start w:val="1"/>
        <w:numFmt w:val="decimal"/>
        <w:suff w:val="nothing"/>
        <w:lvlText w:val="%1.%2.%3.%4.%5  "/>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19">
    <w:abstractNumId w:val="8"/>
  </w:num>
  <w:num w:numId="20">
    <w:abstractNumId w:val="3"/>
  </w:num>
  <w:num w:numId="21">
    <w:abstractNumId w:val="2"/>
  </w:num>
  <w:num w:numId="22">
    <w:abstractNumId w:val="1"/>
  </w:num>
  <w:num w:numId="23">
    <w:abstractNumId w:val="0"/>
  </w:num>
  <w:num w:numId="24">
    <w:abstractNumId w:val="25"/>
  </w:num>
  <w:num w:numId="25">
    <w:abstractNumId w:val="19"/>
  </w:num>
  <w:num w:numId="26">
    <w:abstractNumId w:val="37"/>
  </w:num>
  <w:num w:numId="27">
    <w:abstractNumId w:val="29"/>
  </w:num>
  <w:num w:numId="28">
    <w:abstractNumId w:val="36"/>
  </w:num>
  <w:num w:numId="29">
    <w:abstractNumId w:val="25"/>
  </w:num>
  <w:num w:numId="3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6"/>
  </w:num>
  <w:num w:numId="32">
    <w:abstractNumId w:val="13"/>
  </w:num>
  <w:num w:numId="33">
    <w:abstractNumId w:val="21"/>
  </w:num>
  <w:num w:numId="34">
    <w:abstractNumId w:val="26"/>
  </w:num>
  <w:num w:numId="35">
    <w:abstractNumId w:val="14"/>
  </w:num>
  <w:num w:numId="36">
    <w:abstractNumId w:val="13"/>
  </w:num>
  <w:num w:numId="37">
    <w:abstractNumId w:val="38"/>
  </w:num>
  <w:num w:numId="38">
    <w:abstractNumId w:val="27"/>
  </w:num>
  <w:num w:numId="39">
    <w:abstractNumId w:val="13"/>
  </w:num>
  <w:num w:numId="40">
    <w:abstractNumId w:val="30"/>
  </w:num>
  <w:num w:numId="41">
    <w:abstractNumId w:val="17"/>
  </w:num>
  <w:num w:numId="42">
    <w:abstractNumId w:val="31"/>
  </w:num>
  <w:num w:numId="43">
    <w:abstractNumId w:val="20"/>
  </w:num>
  <w:num w:numId="44">
    <w:abstractNumId w:val="24"/>
  </w:num>
  <w:num w:numId="45">
    <w:abstractNumId w:val="12"/>
  </w:num>
  <w:num w:numId="46">
    <w:abstractNumId w:val="24"/>
  </w:num>
  <w:num w:numId="47">
    <w:abstractNumId w:val="24"/>
  </w:num>
  <w:num w:numId="48">
    <w:abstractNumId w:val="24"/>
  </w:num>
  <w:num w:numId="49">
    <w:abstractNumId w:val="24"/>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015BD"/>
    <w:rsid w:val="00002B76"/>
    <w:rsid w:val="000159CF"/>
    <w:rsid w:val="0002726B"/>
    <w:rsid w:val="00043DAA"/>
    <w:rsid w:val="000508B2"/>
    <w:rsid w:val="000512CD"/>
    <w:rsid w:val="00054899"/>
    <w:rsid w:val="000568A8"/>
    <w:rsid w:val="000731DA"/>
    <w:rsid w:val="00077CC3"/>
    <w:rsid w:val="00084994"/>
    <w:rsid w:val="000904E5"/>
    <w:rsid w:val="000C7E51"/>
    <w:rsid w:val="000D6AEE"/>
    <w:rsid w:val="000E0AFD"/>
    <w:rsid w:val="000E452C"/>
    <w:rsid w:val="000E45B2"/>
    <w:rsid w:val="00114F0A"/>
    <w:rsid w:val="0011540C"/>
    <w:rsid w:val="00137A4D"/>
    <w:rsid w:val="00141E0E"/>
    <w:rsid w:val="00151AA2"/>
    <w:rsid w:val="00153C5B"/>
    <w:rsid w:val="00153F00"/>
    <w:rsid w:val="00153F2E"/>
    <w:rsid w:val="001616BD"/>
    <w:rsid w:val="001651FF"/>
    <w:rsid w:val="001710A2"/>
    <w:rsid w:val="00171342"/>
    <w:rsid w:val="00174045"/>
    <w:rsid w:val="001773BB"/>
    <w:rsid w:val="00194DC9"/>
    <w:rsid w:val="001A44A2"/>
    <w:rsid w:val="001B43F2"/>
    <w:rsid w:val="001C1F8F"/>
    <w:rsid w:val="001C37D6"/>
    <w:rsid w:val="001C5CBC"/>
    <w:rsid w:val="001D5333"/>
    <w:rsid w:val="001D5784"/>
    <w:rsid w:val="001E08D4"/>
    <w:rsid w:val="001E33A5"/>
    <w:rsid w:val="001F376D"/>
    <w:rsid w:val="001F3837"/>
    <w:rsid w:val="00203AE3"/>
    <w:rsid w:val="00206A92"/>
    <w:rsid w:val="0022112A"/>
    <w:rsid w:val="00252555"/>
    <w:rsid w:val="00256463"/>
    <w:rsid w:val="002677B6"/>
    <w:rsid w:val="00267CF3"/>
    <w:rsid w:val="00276DDF"/>
    <w:rsid w:val="00284FE3"/>
    <w:rsid w:val="00286B19"/>
    <w:rsid w:val="002B0862"/>
    <w:rsid w:val="002C7AD1"/>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A6AEB"/>
    <w:rsid w:val="003B6705"/>
    <w:rsid w:val="003D777C"/>
    <w:rsid w:val="003E0730"/>
    <w:rsid w:val="00423368"/>
    <w:rsid w:val="00456CCB"/>
    <w:rsid w:val="00463452"/>
    <w:rsid w:val="004643C9"/>
    <w:rsid w:val="00465964"/>
    <w:rsid w:val="00490C6C"/>
    <w:rsid w:val="004B4476"/>
    <w:rsid w:val="004B7112"/>
    <w:rsid w:val="004C0384"/>
    <w:rsid w:val="004C4B1D"/>
    <w:rsid w:val="004E03D2"/>
    <w:rsid w:val="004E7EAC"/>
    <w:rsid w:val="004F374B"/>
    <w:rsid w:val="004F44ED"/>
    <w:rsid w:val="0051314B"/>
    <w:rsid w:val="00526A0C"/>
    <w:rsid w:val="005413E3"/>
    <w:rsid w:val="00546E75"/>
    <w:rsid w:val="00555CC1"/>
    <w:rsid w:val="00570D73"/>
    <w:rsid w:val="00573B63"/>
    <w:rsid w:val="00590EFB"/>
    <w:rsid w:val="00592236"/>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555AB"/>
    <w:rsid w:val="00656D20"/>
    <w:rsid w:val="00656E64"/>
    <w:rsid w:val="00662AEE"/>
    <w:rsid w:val="00667DD8"/>
    <w:rsid w:val="00673184"/>
    <w:rsid w:val="00675961"/>
    <w:rsid w:val="0068153F"/>
    <w:rsid w:val="006822CA"/>
    <w:rsid w:val="00683C22"/>
    <w:rsid w:val="0068661A"/>
    <w:rsid w:val="006A2B0C"/>
    <w:rsid w:val="006B4642"/>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26F"/>
    <w:rsid w:val="007313BE"/>
    <w:rsid w:val="00731D48"/>
    <w:rsid w:val="007329FD"/>
    <w:rsid w:val="0073339C"/>
    <w:rsid w:val="00734F2C"/>
    <w:rsid w:val="0074070B"/>
    <w:rsid w:val="0074451B"/>
    <w:rsid w:val="00763C01"/>
    <w:rsid w:val="00763EC0"/>
    <w:rsid w:val="007657BC"/>
    <w:rsid w:val="007669E5"/>
    <w:rsid w:val="00784F1A"/>
    <w:rsid w:val="0079704F"/>
    <w:rsid w:val="007A2A66"/>
    <w:rsid w:val="007A4B64"/>
    <w:rsid w:val="007B0F69"/>
    <w:rsid w:val="007B3F2C"/>
    <w:rsid w:val="007B48BE"/>
    <w:rsid w:val="007D348C"/>
    <w:rsid w:val="007D51FC"/>
    <w:rsid w:val="007E7634"/>
    <w:rsid w:val="007F5163"/>
    <w:rsid w:val="0080534A"/>
    <w:rsid w:val="0082067C"/>
    <w:rsid w:val="00821FE4"/>
    <w:rsid w:val="008263A1"/>
    <w:rsid w:val="00830BF0"/>
    <w:rsid w:val="00830F17"/>
    <w:rsid w:val="00832A96"/>
    <w:rsid w:val="008337FB"/>
    <w:rsid w:val="008342B2"/>
    <w:rsid w:val="008347FA"/>
    <w:rsid w:val="0083754E"/>
    <w:rsid w:val="00840AB7"/>
    <w:rsid w:val="0085003C"/>
    <w:rsid w:val="00855F6B"/>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72829"/>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142B"/>
    <w:rsid w:val="009F49D8"/>
    <w:rsid w:val="00A14E83"/>
    <w:rsid w:val="00A23AAB"/>
    <w:rsid w:val="00A255F2"/>
    <w:rsid w:val="00A36765"/>
    <w:rsid w:val="00A60378"/>
    <w:rsid w:val="00A72158"/>
    <w:rsid w:val="00A82010"/>
    <w:rsid w:val="00A84F32"/>
    <w:rsid w:val="00A97A6B"/>
    <w:rsid w:val="00AB39EF"/>
    <w:rsid w:val="00AC2BB5"/>
    <w:rsid w:val="00AC4985"/>
    <w:rsid w:val="00AD2418"/>
    <w:rsid w:val="00AE0E53"/>
    <w:rsid w:val="00AE2978"/>
    <w:rsid w:val="00AE55DC"/>
    <w:rsid w:val="00AF3C5E"/>
    <w:rsid w:val="00B17637"/>
    <w:rsid w:val="00B21758"/>
    <w:rsid w:val="00B319B1"/>
    <w:rsid w:val="00B325D1"/>
    <w:rsid w:val="00B40C53"/>
    <w:rsid w:val="00B63EAC"/>
    <w:rsid w:val="00B72F99"/>
    <w:rsid w:val="00B87B03"/>
    <w:rsid w:val="00B91E01"/>
    <w:rsid w:val="00B95429"/>
    <w:rsid w:val="00B95729"/>
    <w:rsid w:val="00BB0408"/>
    <w:rsid w:val="00BB2C13"/>
    <w:rsid w:val="00BC08C8"/>
    <w:rsid w:val="00BC1ED8"/>
    <w:rsid w:val="00BD5E73"/>
    <w:rsid w:val="00BD7ACA"/>
    <w:rsid w:val="00BE4C60"/>
    <w:rsid w:val="00BF0385"/>
    <w:rsid w:val="00BF185C"/>
    <w:rsid w:val="00BF5276"/>
    <w:rsid w:val="00C030CC"/>
    <w:rsid w:val="00C06D65"/>
    <w:rsid w:val="00C562AD"/>
    <w:rsid w:val="00C603A6"/>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39E4"/>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B2A08"/>
    <w:rsid w:val="00DD5049"/>
    <w:rsid w:val="00DE38F1"/>
    <w:rsid w:val="00DE4CF2"/>
    <w:rsid w:val="00DF10B8"/>
    <w:rsid w:val="00E01811"/>
    <w:rsid w:val="00E03B46"/>
    <w:rsid w:val="00E04C09"/>
    <w:rsid w:val="00E17847"/>
    <w:rsid w:val="00E3414A"/>
    <w:rsid w:val="00E40A11"/>
    <w:rsid w:val="00E4541E"/>
    <w:rsid w:val="00E45DD9"/>
    <w:rsid w:val="00E4708D"/>
    <w:rsid w:val="00E477CC"/>
    <w:rsid w:val="00E47F3B"/>
    <w:rsid w:val="00E517EA"/>
    <w:rsid w:val="00E56938"/>
    <w:rsid w:val="00E57B38"/>
    <w:rsid w:val="00E7245F"/>
    <w:rsid w:val="00E76A19"/>
    <w:rsid w:val="00E81548"/>
    <w:rsid w:val="00E877C5"/>
    <w:rsid w:val="00E96286"/>
    <w:rsid w:val="00EA3E4B"/>
    <w:rsid w:val="00EA4E63"/>
    <w:rsid w:val="00EC03F3"/>
    <w:rsid w:val="00EC4066"/>
    <w:rsid w:val="00ED6F44"/>
    <w:rsid w:val="00ED789D"/>
    <w:rsid w:val="00EF3BDB"/>
    <w:rsid w:val="00F04BA4"/>
    <w:rsid w:val="00F05162"/>
    <w:rsid w:val="00F06554"/>
    <w:rsid w:val="00F10543"/>
    <w:rsid w:val="00F21441"/>
    <w:rsid w:val="00F325C1"/>
    <w:rsid w:val="00F336DA"/>
    <w:rsid w:val="00F3466A"/>
    <w:rsid w:val="00F57024"/>
    <w:rsid w:val="00F63A80"/>
    <w:rsid w:val="00F71844"/>
    <w:rsid w:val="00F832E0"/>
    <w:rsid w:val="00F9380F"/>
    <w:rsid w:val="00F96B94"/>
    <w:rsid w:val="00FA4C27"/>
    <w:rsid w:val="00FA5113"/>
    <w:rsid w:val="00FB0BA4"/>
    <w:rsid w:val="00FB0E30"/>
    <w:rsid w:val="00FC3FD5"/>
    <w:rsid w:val="00FC6C30"/>
    <w:rsid w:val="00FD024C"/>
    <w:rsid w:val="00FD2B6A"/>
    <w:rsid w:val="00FE0F73"/>
    <w:rsid w:val="00FF2201"/>
    <w:rsid w:val="00FF3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8"/>
      </w:numPr>
    </w:pPr>
  </w:style>
  <w:style w:type="paragraph" w:customStyle="1" w:styleId="02BAFUTitelnummeriert">
    <w:name w:val="02_BAFU_Titel_nummeriert"/>
    <w:basedOn w:val="Standard"/>
    <w:qFormat/>
    <w:rsid w:val="00EC4066"/>
    <w:pPr>
      <w:numPr>
        <w:numId w:val="2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4"/>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14"/>
      </w:numPr>
      <w:ind w:left="199" w:hanging="199"/>
    </w:pPr>
  </w:style>
  <w:style w:type="paragraph" w:customStyle="1" w:styleId="05BAFUGrundschriftAufzhlung">
    <w:name w:val="05_BAFU_Grundschrift Aufzählung"/>
    <w:basedOn w:val="05BAFUGrundschriftAufzhlungletzte"/>
    <w:qFormat/>
    <w:rsid w:val="00AE2978"/>
    <w:pPr>
      <w:numPr>
        <w:numId w:val="44"/>
      </w:numPr>
      <w:spacing w:after="0"/>
    </w:pPr>
  </w:style>
  <w:style w:type="paragraph" w:customStyle="1" w:styleId="05BAFUGrundschriftAufzhlung2Hierarchie">
    <w:name w:val="05_BAFU_Grundschrift Aufzählung 2. Hierarchie"/>
    <w:basedOn w:val="05BAFUGrundschriftAufzhlung"/>
    <w:qFormat/>
    <w:rsid w:val="009E4826"/>
    <w:pPr>
      <w:numPr>
        <w:ilvl w:val="1"/>
        <w:numId w:val="17"/>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24"/>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 w:type="paragraph" w:customStyle="1" w:styleId="Zeichnung">
    <w:name w:val="Zeichnung"/>
    <w:basedOn w:val="Standard"/>
    <w:rsid w:val="000015BD"/>
    <w:pPr>
      <w:spacing w:before="48" w:after="48" w:line="240" w:lineRule="auto"/>
      <w:jc w:val="center"/>
    </w:pPr>
    <w:rPr>
      <w:rFonts w:ascii="Arial" w:eastAsia="Times New Roman" w:hAnsi="Arial" w:cs="Times New Roman"/>
      <w:sz w:val="16"/>
      <w:szCs w:val="20"/>
      <w:lang w:val="de-DE" w:eastAsia="de-DE"/>
    </w:rPr>
  </w:style>
  <w:style w:type="paragraph" w:customStyle="1" w:styleId="Erluterung1">
    <w:name w:val="Erläuterung 1"/>
    <w:basedOn w:val="Kopfzeile"/>
    <w:rsid w:val="000015BD"/>
    <w:pPr>
      <w:tabs>
        <w:tab w:val="clear" w:pos="9072"/>
        <w:tab w:val="right" w:pos="8505"/>
      </w:tabs>
      <w:spacing w:line="280" w:lineRule="atLeast"/>
    </w:pPr>
    <w:rPr>
      <w:rFonts w:ascii="Helvetica" w:eastAsia="Times" w:hAnsi="Helvetica" w:cs="Times New Roman"/>
      <w:i/>
      <w:smallCaps/>
      <w:color w:val="00808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842815\Downloads\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1C4EC-8AC1-4801-977D-E2036C02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VORL_Anhang_ESV.dotx</Template>
  <TotalTime>0</TotalTime>
  <Pages>2</Pages>
  <Words>817</Words>
  <Characters>5149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Pre-Media</cp:lastModifiedBy>
  <cp:revision>97</cp:revision>
  <cp:lastPrinted>2019-09-05T12:42:00Z</cp:lastPrinted>
  <dcterms:created xsi:type="dcterms:W3CDTF">2019-10-02T15:58:00Z</dcterms:created>
  <dcterms:modified xsi:type="dcterms:W3CDTF">2020-02-04T09:11:00Z</dcterms:modified>
</cp:coreProperties>
</file>