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984E0B">
        <w:rPr>
          <w:color w:val="B6BDBB"/>
        </w:rPr>
        <w:t>1</w:t>
      </w:r>
      <w:r w:rsidR="00737F18">
        <w:rPr>
          <w:color w:val="B6BDBB"/>
        </w:rPr>
        <w:t>4</w:t>
      </w:r>
      <w:r>
        <w:t xml:space="preserve"> </w:t>
      </w:r>
      <w:r>
        <w:br/>
      </w:r>
      <w:bookmarkEnd w:id="0"/>
      <w:r w:rsidR="00737F18" w:rsidRPr="00737F18">
        <w:t>Entsorgungsplan für biologisch kontaminierte Abfälle</w:t>
      </w:r>
    </w:p>
    <w:p w:rsidR="00737F18" w:rsidRPr="00737F18" w:rsidRDefault="00737F18" w:rsidP="005310EE">
      <w:pPr>
        <w:pStyle w:val="02BAFUTitelnummeriert"/>
        <w:numPr>
          <w:ilvl w:val="0"/>
          <w:numId w:val="0"/>
        </w:numPr>
        <w:spacing w:after="568"/>
      </w:pPr>
      <w:r w:rsidRPr="00737F18">
        <w:rPr>
          <w:rFonts w:ascii="Times New Roman" w:hAnsi="Times New Roman" w:cs="Times New Roman"/>
          <w:b w:val="0"/>
          <w:i/>
          <w:noProof/>
          <w:sz w:val="20"/>
          <w:szCs w:val="20"/>
          <w:lang w:eastAsia="de-CH"/>
        </w:rPr>
        <w:t>Diese Vorlage bildet eine konkrete Praxissituation ab und ist a</w:t>
      </w:r>
      <w:r w:rsidR="00C249F0">
        <w:rPr>
          <w:rFonts w:ascii="Times New Roman" w:hAnsi="Times New Roman" w:cs="Times New Roman"/>
          <w:b w:val="0"/>
          <w:i/>
          <w:noProof/>
          <w:sz w:val="20"/>
          <w:szCs w:val="20"/>
          <w:lang w:eastAsia="de-CH"/>
        </w:rPr>
        <w:t>n die betriebsspezifischen Gege</w:t>
      </w:r>
      <w:r w:rsidRPr="00737F18">
        <w:rPr>
          <w:rFonts w:ascii="Times New Roman" w:hAnsi="Times New Roman" w:cs="Times New Roman"/>
          <w:b w:val="0"/>
          <w:i/>
          <w:noProof/>
          <w:sz w:val="20"/>
          <w:szCs w:val="20"/>
          <w:lang w:eastAsia="de-CH"/>
        </w:rPr>
        <w:t>benheiten anzupassen.</w:t>
      </w:r>
    </w:p>
    <w:p w:rsidR="00DD5049" w:rsidRDefault="00C249F0" w:rsidP="00737F18">
      <w:pPr>
        <w:pStyle w:val="02BAFUTitelnummeriert"/>
      </w:pPr>
      <w:r>
        <w:t>Zweck</w:t>
      </w:r>
    </w:p>
    <w:p w:rsidR="00C249F0" w:rsidRPr="00D87649" w:rsidRDefault="00C249F0" w:rsidP="00626941">
      <w:pPr>
        <w:pStyle w:val="05BAFUGrundschriftohneAbstanddanach"/>
      </w:pPr>
      <w:r w:rsidRPr="00D87649">
        <w:t>Dieser Entsorgungsplan regelt den entsprechenden Umgang mit biologisch kontaminierten Ab</w:t>
      </w:r>
      <w:r w:rsidRPr="00D87649">
        <w:softHyphen/>
        <w:t>fällen.</w:t>
      </w:r>
    </w:p>
    <w:p w:rsidR="00C249F0" w:rsidRPr="00D87649" w:rsidRDefault="00C249F0" w:rsidP="00C249F0">
      <w:pPr>
        <w:pStyle w:val="05BAFUGrundschrift"/>
      </w:pPr>
      <w:r w:rsidRPr="00D87649">
        <w:t>Die Inaktivierung von kontaminierten Abfällen ist ein zentraler Aspekt, um den Austritt von Orga</w:t>
      </w:r>
      <w:r w:rsidRPr="00D87649">
        <w:softHyphen/>
        <w:t>nismen aus dem Labor zu minimieren, um so eine Gefährdung von Mensch und Umwelt zu vermeiden.</w:t>
      </w:r>
    </w:p>
    <w:tbl>
      <w:tblPr>
        <w:tblStyle w:val="Tabellenraster"/>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9854"/>
      </w:tblGrid>
      <w:tr w:rsidR="00C249F0" w:rsidRPr="00C249F0" w:rsidTr="00270A24">
        <w:tc>
          <w:tcPr>
            <w:tcW w:w="9854" w:type="dxa"/>
            <w:shd w:val="clear" w:color="auto" w:fill="F2F2F2" w:themeFill="background1" w:themeFillShade="F2"/>
            <w:vAlign w:val="center"/>
          </w:tcPr>
          <w:p w:rsidR="00C249F0" w:rsidRPr="00C249F0" w:rsidRDefault="00C249F0" w:rsidP="00C249F0">
            <w:pPr>
              <w:pStyle w:val="Erluterung1"/>
              <w:rPr>
                <w:rFonts w:ascii="Arial" w:hAnsi="Arial"/>
                <w:i w:val="0"/>
                <w:smallCaps w:val="0"/>
                <w:color w:val="000000" w:themeColor="text1"/>
              </w:rPr>
            </w:pPr>
            <w:r w:rsidRPr="00C249F0">
              <w:rPr>
                <w:rFonts w:ascii="Arial" w:hAnsi="Arial"/>
                <w:i w:val="0"/>
                <w:smallCaps w:val="0"/>
                <w:color w:val="000000" w:themeColor="text1"/>
              </w:rPr>
              <w:t>Anwendbare Inaktivierungstechniken sind die Dampfsterilisation (Autoklavieren), die chemische Inaktivierung sowie die (trockene) Hitzesterilisation.</w:t>
            </w:r>
          </w:p>
          <w:p w:rsidR="00C249F0" w:rsidRPr="00C249F0" w:rsidRDefault="00C249F0" w:rsidP="00C249F0">
            <w:pPr>
              <w:pStyle w:val="Erluterung1"/>
              <w:rPr>
                <w:rFonts w:ascii="Arial" w:hAnsi="Arial"/>
                <w:i w:val="0"/>
                <w:smallCaps w:val="0"/>
                <w:color w:val="000000" w:themeColor="text1"/>
              </w:rPr>
            </w:pPr>
          </w:p>
          <w:p w:rsidR="00C249F0" w:rsidRPr="00C249F0" w:rsidRDefault="00C249F0" w:rsidP="00CA7010">
            <w:pPr>
              <w:pStyle w:val="Erluterung1"/>
              <w:rPr>
                <w:rFonts w:ascii="Arial" w:hAnsi="Arial"/>
                <w:i w:val="0"/>
                <w:smallCaps w:val="0"/>
                <w:color w:val="000000" w:themeColor="text1"/>
              </w:rPr>
            </w:pPr>
            <w:r w:rsidRPr="00C249F0">
              <w:rPr>
                <w:rFonts w:ascii="Arial" w:hAnsi="Arial"/>
                <w:i w:val="0"/>
                <w:smallCaps w:val="0"/>
                <w:color w:val="000000" w:themeColor="text1"/>
              </w:rPr>
              <w:t>Für die Organisation der Abfallinaktivierung und -beseitigung sind die folgenden Teilschritte von Bedeutung:</w:t>
            </w:r>
          </w:p>
          <w:p w:rsidR="00C249F0" w:rsidRPr="00C249F0" w:rsidRDefault="00C249F0" w:rsidP="00CA7010">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1.</w:t>
            </w:r>
            <w:r w:rsidRPr="00C249F0">
              <w:rPr>
                <w:rFonts w:ascii="Arial" w:hAnsi="Arial"/>
                <w:i w:val="0"/>
                <w:smallCaps w:val="0"/>
                <w:color w:val="000000" w:themeColor="text1"/>
              </w:rPr>
              <w:tab/>
              <w:t>Beschreibung der Abfälle und Art des Sammelns</w:t>
            </w:r>
          </w:p>
          <w:p w:rsidR="00C249F0" w:rsidRPr="00C249F0" w:rsidRDefault="00C249F0" w:rsidP="00CA7010">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2.</w:t>
            </w:r>
            <w:r w:rsidRPr="00C249F0">
              <w:rPr>
                <w:rFonts w:ascii="Arial" w:hAnsi="Arial"/>
                <w:i w:val="0"/>
                <w:smallCaps w:val="0"/>
                <w:color w:val="000000" w:themeColor="text1"/>
              </w:rPr>
              <w:tab/>
              <w:t>Kennzeichnung</w:t>
            </w:r>
          </w:p>
          <w:p w:rsidR="00C249F0" w:rsidRPr="00C249F0" w:rsidRDefault="00C249F0" w:rsidP="00CA7010">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3.</w:t>
            </w:r>
            <w:r w:rsidRPr="00C249F0">
              <w:rPr>
                <w:rFonts w:ascii="Arial" w:hAnsi="Arial"/>
                <w:i w:val="0"/>
                <w:smallCaps w:val="0"/>
                <w:color w:val="000000" w:themeColor="text1"/>
              </w:rPr>
              <w:tab/>
              <w:t>Lagerung</w:t>
            </w:r>
          </w:p>
          <w:p w:rsidR="00C249F0" w:rsidRPr="00C249F0" w:rsidRDefault="00C249F0" w:rsidP="00CA7010">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4.</w:t>
            </w:r>
            <w:r w:rsidRPr="00C249F0">
              <w:rPr>
                <w:rFonts w:ascii="Arial" w:hAnsi="Arial"/>
                <w:i w:val="0"/>
                <w:smallCaps w:val="0"/>
                <w:color w:val="000000" w:themeColor="text1"/>
              </w:rPr>
              <w:tab/>
              <w:t>Transport</w:t>
            </w:r>
          </w:p>
          <w:p w:rsidR="00C249F0" w:rsidRPr="00C249F0" w:rsidRDefault="00C249F0" w:rsidP="00CA7010">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5.</w:t>
            </w:r>
            <w:r w:rsidRPr="00C249F0">
              <w:rPr>
                <w:rFonts w:ascii="Arial" w:hAnsi="Arial"/>
                <w:i w:val="0"/>
                <w:smallCaps w:val="0"/>
                <w:color w:val="000000" w:themeColor="text1"/>
              </w:rPr>
              <w:tab/>
              <w:t>Inaktivierung (Methode, Technik)</w:t>
            </w:r>
          </w:p>
          <w:p w:rsidR="00CA7010" w:rsidRPr="00C249F0" w:rsidRDefault="00C249F0" w:rsidP="00505D36">
            <w:pPr>
              <w:pStyle w:val="Erluterung1"/>
              <w:ind w:left="907" w:hanging="340"/>
              <w:rPr>
                <w:rFonts w:ascii="Arial" w:hAnsi="Arial"/>
                <w:i w:val="0"/>
                <w:smallCaps w:val="0"/>
                <w:color w:val="000000" w:themeColor="text1"/>
              </w:rPr>
            </w:pPr>
            <w:r w:rsidRPr="00C249F0">
              <w:rPr>
                <w:rFonts w:ascii="Arial" w:hAnsi="Arial"/>
                <w:i w:val="0"/>
                <w:smallCaps w:val="0"/>
                <w:color w:val="000000" w:themeColor="text1"/>
              </w:rPr>
              <w:t>6.</w:t>
            </w:r>
            <w:r w:rsidRPr="00C249F0">
              <w:rPr>
                <w:rFonts w:ascii="Arial" w:hAnsi="Arial"/>
                <w:i w:val="0"/>
                <w:smallCaps w:val="0"/>
                <w:color w:val="000000" w:themeColor="text1"/>
              </w:rPr>
              <w:tab/>
              <w:t>Entsorgung</w:t>
            </w:r>
          </w:p>
        </w:tc>
      </w:tr>
    </w:tbl>
    <w:p w:rsidR="007C15F5" w:rsidRDefault="007C15F5" w:rsidP="005310EE">
      <w:pPr>
        <w:pStyle w:val="02BAFUTitelnummeriert"/>
        <w:spacing w:before="284"/>
        <w:rPr>
          <w:b w:val="0"/>
        </w:rPr>
      </w:pPr>
      <w:r w:rsidRPr="007C15F5">
        <w:t xml:space="preserve">Entsorgung biologisch kontaminierter Abfälle </w:t>
      </w:r>
    </w:p>
    <w:p w:rsidR="007C15F5" w:rsidRPr="007C15F5" w:rsidRDefault="007C15F5" w:rsidP="00A318BE">
      <w:pPr>
        <w:pStyle w:val="03BAFUUntertitel"/>
        <w:ind w:left="392" w:hanging="392"/>
        <w:rPr>
          <w:noProof/>
          <w:lang w:eastAsia="de-CH"/>
        </w:rPr>
      </w:pPr>
      <w:r>
        <w:rPr>
          <w:noProof/>
          <w:lang w:eastAsia="de-CH"/>
        </w:rPr>
        <w:t>2.1</w:t>
      </w:r>
      <w:r>
        <w:rPr>
          <w:noProof/>
          <w:lang w:eastAsia="de-CH"/>
        </w:rPr>
        <w:tab/>
      </w:r>
      <w:r w:rsidRPr="007C15F5">
        <w:rPr>
          <w:noProof/>
          <w:lang w:eastAsia="de-CH"/>
        </w:rPr>
        <w:t>Entsorgung von Abfällen mit Verletzungsgefahr (sharps) als Sonderabfall</w:t>
      </w:r>
    </w:p>
    <w:p w:rsidR="00B16A2C" w:rsidRDefault="007C15F5" w:rsidP="007C15F5">
      <w:pPr>
        <w:pStyle w:val="05BAFUGrundschrift"/>
      </w:pPr>
      <w:r w:rsidRPr="007C15F5">
        <w:t>Abfälle mit Verletzungsgefahr (sharps) werden nicht mit dem normalen Betriebskehricht, son-dern als Sonderabfall entsorgt. Wenn sie mit infektiösem Material in Kontakt gekommen sind, werden sie vorher inaktiviert.</w:t>
      </w:r>
    </w:p>
    <w:p w:rsidR="00976A40" w:rsidRPr="00B16A2C" w:rsidRDefault="00B16A2C" w:rsidP="00B16A2C">
      <w:pPr>
        <w:spacing w:after="60"/>
        <w:rPr>
          <w:rFonts w:ascii="Arial" w:hAnsi="Arial"/>
          <w:b/>
          <w:sz w:val="16"/>
          <w:szCs w:val="16"/>
        </w:rPr>
      </w:pPr>
      <w:r w:rsidRPr="00B16A2C">
        <w:rPr>
          <w:rFonts w:ascii="Arial" w:hAnsi="Arial"/>
          <w:b/>
          <w:sz w:val="16"/>
          <w:szCs w:val="16"/>
        </w:rPr>
        <w:t xml:space="preserve">Codierung nach </w:t>
      </w:r>
      <w:proofErr w:type="spellStart"/>
      <w:r w:rsidRPr="00B16A2C">
        <w:rPr>
          <w:rFonts w:ascii="Arial" w:hAnsi="Arial"/>
          <w:b/>
          <w:sz w:val="16"/>
          <w:szCs w:val="16"/>
        </w:rPr>
        <w:t>VeVA</w:t>
      </w:r>
      <w:proofErr w:type="spellEnd"/>
      <w:r w:rsidRPr="00B16A2C">
        <w:rPr>
          <w:rFonts w:ascii="Arial" w:hAnsi="Arial"/>
          <w:b/>
          <w:sz w:val="16"/>
          <w:szCs w:val="16"/>
        </w:rPr>
        <w:t xml:space="preserve"> als Sonderabfall</w:t>
      </w:r>
    </w:p>
    <w:tbl>
      <w:tblPr>
        <w:tblW w:w="9888" w:type="dxa"/>
        <w:tblInd w:w="-5" w:type="dxa"/>
        <w:tblLayout w:type="fixed"/>
        <w:tblLook w:val="01E0" w:firstRow="1" w:lastRow="1" w:firstColumn="1" w:lastColumn="1" w:noHBand="0" w:noVBand="0"/>
      </w:tblPr>
      <w:tblGrid>
        <w:gridCol w:w="1530"/>
        <w:gridCol w:w="8358"/>
      </w:tblGrid>
      <w:tr w:rsidR="00EE022D" w:rsidRPr="00EE022D" w:rsidTr="003F215E">
        <w:tc>
          <w:tcPr>
            <w:tcW w:w="1530" w:type="dxa"/>
            <w:tcBorders>
              <w:top w:val="single" w:sz="4" w:space="0" w:color="auto"/>
            </w:tcBorders>
            <w:shd w:val="clear" w:color="auto" w:fill="auto"/>
          </w:tcPr>
          <w:p w:rsidR="00EE022D" w:rsidRPr="00EE022D" w:rsidRDefault="00EE022D" w:rsidP="006E0165">
            <w:pPr>
              <w:pStyle w:val="Tabelle"/>
              <w:overflowPunct w:val="0"/>
              <w:autoSpaceDE w:val="0"/>
              <w:autoSpaceDN w:val="0"/>
              <w:adjustRightInd w:val="0"/>
              <w:jc w:val="both"/>
              <w:textAlignment w:val="baseline"/>
              <w:rPr>
                <w:b/>
                <w:sz w:val="16"/>
                <w:szCs w:val="16"/>
                <w:lang w:val="de-CH"/>
              </w:rPr>
            </w:pPr>
            <w:r w:rsidRPr="00EE022D">
              <w:rPr>
                <w:b/>
                <w:sz w:val="16"/>
                <w:szCs w:val="16"/>
                <w:lang w:val="de-CH"/>
              </w:rPr>
              <w:t>LVA-Code</w:t>
            </w:r>
            <w:r w:rsidR="0042796B">
              <w:rPr>
                <w:rStyle w:val="Funotenzeichen"/>
                <w:b/>
                <w:sz w:val="16"/>
                <w:szCs w:val="16"/>
                <w:lang w:val="de-CH"/>
              </w:rPr>
              <w:footnoteReference w:id="1"/>
            </w:r>
          </w:p>
        </w:tc>
        <w:tc>
          <w:tcPr>
            <w:tcW w:w="8358" w:type="dxa"/>
            <w:tcBorders>
              <w:top w:val="single" w:sz="4" w:space="0" w:color="auto"/>
            </w:tcBorders>
            <w:shd w:val="clear" w:color="auto" w:fill="auto"/>
          </w:tcPr>
          <w:p w:rsidR="00EE022D" w:rsidRPr="00EE022D" w:rsidRDefault="00EE022D" w:rsidP="006E0165">
            <w:pPr>
              <w:pStyle w:val="Tabelle"/>
              <w:overflowPunct w:val="0"/>
              <w:autoSpaceDE w:val="0"/>
              <w:autoSpaceDN w:val="0"/>
              <w:adjustRightInd w:val="0"/>
              <w:jc w:val="both"/>
              <w:textAlignment w:val="baseline"/>
              <w:rPr>
                <w:b/>
                <w:sz w:val="16"/>
                <w:szCs w:val="16"/>
                <w:lang w:val="de-CH"/>
              </w:rPr>
            </w:pPr>
            <w:r w:rsidRPr="00EE022D">
              <w:rPr>
                <w:b/>
                <w:sz w:val="16"/>
                <w:szCs w:val="16"/>
                <w:lang w:val="de-CH"/>
              </w:rPr>
              <w:t>Abfallbeschreibung</w:t>
            </w:r>
          </w:p>
        </w:tc>
      </w:tr>
      <w:tr w:rsidR="00EE022D" w:rsidRPr="00EE022D" w:rsidTr="003F215E">
        <w:tc>
          <w:tcPr>
            <w:tcW w:w="1530" w:type="dxa"/>
            <w:shd w:val="clear" w:color="auto" w:fill="F2F2F2" w:themeFill="background1" w:themeFillShade="F2"/>
            <w:vAlign w:val="center"/>
          </w:tcPr>
          <w:p w:rsidR="00EE022D" w:rsidRPr="00EE022D" w:rsidRDefault="00EE022D" w:rsidP="006E0165">
            <w:pPr>
              <w:pStyle w:val="Tabelle"/>
              <w:overflowPunct w:val="0"/>
              <w:autoSpaceDE w:val="0"/>
              <w:autoSpaceDN w:val="0"/>
              <w:adjustRightInd w:val="0"/>
              <w:jc w:val="both"/>
              <w:textAlignment w:val="baseline"/>
              <w:rPr>
                <w:sz w:val="16"/>
                <w:szCs w:val="16"/>
                <w:lang w:val="de-CH"/>
              </w:rPr>
            </w:pPr>
            <w:r w:rsidRPr="00EE022D">
              <w:rPr>
                <w:sz w:val="16"/>
                <w:szCs w:val="16"/>
                <w:lang w:val="de-CH"/>
              </w:rPr>
              <w:t>18 01 01</w:t>
            </w:r>
          </w:p>
        </w:tc>
        <w:tc>
          <w:tcPr>
            <w:tcW w:w="8358" w:type="dxa"/>
            <w:shd w:val="clear" w:color="auto" w:fill="F2F2F2" w:themeFill="background1" w:themeFillShade="F2"/>
          </w:tcPr>
          <w:p w:rsidR="00EE022D" w:rsidRPr="00EE022D" w:rsidRDefault="00EE022D" w:rsidP="006E0165">
            <w:pPr>
              <w:pStyle w:val="Tabelle"/>
              <w:overflowPunct w:val="0"/>
              <w:autoSpaceDE w:val="0"/>
              <w:autoSpaceDN w:val="0"/>
              <w:adjustRightInd w:val="0"/>
              <w:jc w:val="both"/>
              <w:textAlignment w:val="baseline"/>
              <w:rPr>
                <w:sz w:val="16"/>
                <w:szCs w:val="16"/>
                <w:lang w:val="de-CH"/>
              </w:rPr>
            </w:pPr>
            <w:r w:rsidRPr="00EE022D">
              <w:rPr>
                <w:sz w:val="16"/>
                <w:szCs w:val="16"/>
                <w:lang w:val="de-CH"/>
              </w:rPr>
              <w:t>Abfälle mit Verletzungsgefahr (</w:t>
            </w:r>
            <w:proofErr w:type="spellStart"/>
            <w:r w:rsidRPr="00EE022D">
              <w:rPr>
                <w:sz w:val="16"/>
                <w:szCs w:val="16"/>
                <w:lang w:val="de-CH"/>
              </w:rPr>
              <w:t>sharps</w:t>
            </w:r>
            <w:proofErr w:type="spellEnd"/>
            <w:r w:rsidRPr="00EE022D">
              <w:rPr>
                <w:sz w:val="16"/>
                <w:szCs w:val="16"/>
                <w:lang w:val="de-CH"/>
              </w:rPr>
              <w:t>)</w:t>
            </w:r>
          </w:p>
        </w:tc>
      </w:tr>
    </w:tbl>
    <w:p w:rsidR="005A2236" w:rsidRDefault="005A2236" w:rsidP="005A2236">
      <w:pPr>
        <w:pStyle w:val="05BAFUGrundschriftAufzhlung"/>
        <w:numPr>
          <w:ilvl w:val="0"/>
          <w:numId w:val="0"/>
        </w:numPr>
        <w:ind w:left="720" w:hanging="360"/>
      </w:pPr>
    </w:p>
    <w:p w:rsidR="005A2236" w:rsidRPr="005A2236" w:rsidRDefault="005A2236" w:rsidP="005A2236">
      <w:pPr>
        <w:spacing w:after="60"/>
        <w:rPr>
          <w:rFonts w:ascii="Arial" w:hAnsi="Arial"/>
          <w:b/>
          <w:sz w:val="16"/>
          <w:szCs w:val="16"/>
        </w:rPr>
      </w:pPr>
      <w:r w:rsidRPr="005A2236">
        <w:rPr>
          <w:rFonts w:ascii="Arial" w:hAnsi="Arial"/>
          <w:b/>
          <w:sz w:val="16"/>
          <w:szCs w:val="16"/>
        </w:rPr>
        <w:t>Klassie</w:t>
      </w:r>
      <w:r w:rsidR="00BD470D">
        <w:rPr>
          <w:rFonts w:ascii="Arial" w:hAnsi="Arial"/>
          <w:b/>
          <w:sz w:val="16"/>
          <w:szCs w:val="16"/>
        </w:rPr>
        <w:t>rung nach ADR/SDR als Gefahrgut</w:t>
      </w:r>
    </w:p>
    <w:tbl>
      <w:tblPr>
        <w:tblW w:w="9874" w:type="dxa"/>
        <w:tblInd w:w="-5" w:type="dxa"/>
        <w:tblLayout w:type="fixed"/>
        <w:tblLook w:val="01E0" w:firstRow="1" w:lastRow="1" w:firstColumn="1" w:lastColumn="1" w:noHBand="0" w:noVBand="0"/>
      </w:tblPr>
      <w:tblGrid>
        <w:gridCol w:w="1531"/>
        <w:gridCol w:w="1417"/>
        <w:gridCol w:w="1553"/>
        <w:gridCol w:w="851"/>
        <w:gridCol w:w="4522"/>
      </w:tblGrid>
      <w:tr w:rsidR="005A2236" w:rsidRPr="005A2236" w:rsidTr="003F215E">
        <w:tc>
          <w:tcPr>
            <w:tcW w:w="1531" w:type="dxa"/>
            <w:tcBorders>
              <w:top w:val="single" w:sz="4" w:space="0" w:color="auto"/>
            </w:tcBorders>
            <w:shd w:val="clear" w:color="auto" w:fill="auto"/>
          </w:tcPr>
          <w:p w:rsidR="005A2236" w:rsidRPr="005A2236" w:rsidRDefault="005A2236" w:rsidP="006E0165">
            <w:pPr>
              <w:pStyle w:val="Tabelle"/>
              <w:overflowPunct w:val="0"/>
              <w:autoSpaceDE w:val="0"/>
              <w:autoSpaceDN w:val="0"/>
              <w:adjustRightInd w:val="0"/>
              <w:jc w:val="both"/>
              <w:textAlignment w:val="baseline"/>
              <w:rPr>
                <w:b/>
                <w:sz w:val="16"/>
                <w:szCs w:val="16"/>
                <w:lang w:val="de-CH"/>
              </w:rPr>
            </w:pPr>
            <w:r w:rsidRPr="005A2236">
              <w:rPr>
                <w:b/>
                <w:sz w:val="16"/>
                <w:szCs w:val="16"/>
                <w:lang w:val="de-CH"/>
              </w:rPr>
              <w:t>Klasse</w:t>
            </w:r>
          </w:p>
        </w:tc>
        <w:tc>
          <w:tcPr>
            <w:tcW w:w="1417" w:type="dxa"/>
            <w:tcBorders>
              <w:top w:val="single" w:sz="4" w:space="0" w:color="auto"/>
            </w:tcBorders>
            <w:shd w:val="clear" w:color="auto" w:fill="auto"/>
          </w:tcPr>
          <w:p w:rsidR="005A2236" w:rsidRPr="005A2236" w:rsidRDefault="005A2236" w:rsidP="006E0165">
            <w:pPr>
              <w:pStyle w:val="Tabelle"/>
              <w:overflowPunct w:val="0"/>
              <w:autoSpaceDE w:val="0"/>
              <w:autoSpaceDN w:val="0"/>
              <w:adjustRightInd w:val="0"/>
              <w:jc w:val="both"/>
              <w:textAlignment w:val="baseline"/>
              <w:rPr>
                <w:b/>
                <w:sz w:val="16"/>
                <w:szCs w:val="16"/>
                <w:lang w:val="de-CH"/>
              </w:rPr>
            </w:pPr>
            <w:r w:rsidRPr="005A2236">
              <w:rPr>
                <w:b/>
                <w:sz w:val="16"/>
                <w:szCs w:val="16"/>
                <w:lang w:val="de-CH"/>
              </w:rPr>
              <w:t>Kategorie</w:t>
            </w:r>
          </w:p>
        </w:tc>
        <w:tc>
          <w:tcPr>
            <w:tcW w:w="1553" w:type="dxa"/>
            <w:tcBorders>
              <w:top w:val="single" w:sz="4" w:space="0" w:color="auto"/>
            </w:tcBorders>
            <w:shd w:val="clear" w:color="auto" w:fill="auto"/>
          </w:tcPr>
          <w:p w:rsidR="005A2236" w:rsidRPr="005A2236" w:rsidRDefault="005A2236" w:rsidP="006E0165">
            <w:pPr>
              <w:pStyle w:val="Tabelle"/>
              <w:overflowPunct w:val="0"/>
              <w:autoSpaceDE w:val="0"/>
              <w:autoSpaceDN w:val="0"/>
              <w:adjustRightInd w:val="0"/>
              <w:jc w:val="both"/>
              <w:textAlignment w:val="baseline"/>
              <w:rPr>
                <w:b/>
                <w:sz w:val="16"/>
                <w:szCs w:val="16"/>
                <w:lang w:val="de-CH"/>
              </w:rPr>
            </w:pPr>
            <w:r w:rsidRPr="005A2236">
              <w:rPr>
                <w:b/>
                <w:sz w:val="16"/>
                <w:szCs w:val="16"/>
                <w:lang w:val="de-CH"/>
              </w:rPr>
              <w:t>UN-Nummer</w:t>
            </w:r>
          </w:p>
        </w:tc>
        <w:tc>
          <w:tcPr>
            <w:tcW w:w="851" w:type="dxa"/>
            <w:tcBorders>
              <w:top w:val="single" w:sz="4" w:space="0" w:color="auto"/>
            </w:tcBorders>
            <w:shd w:val="clear" w:color="auto" w:fill="auto"/>
          </w:tcPr>
          <w:p w:rsidR="005A2236" w:rsidRPr="005A2236" w:rsidRDefault="005A2236" w:rsidP="006E0165">
            <w:pPr>
              <w:pStyle w:val="Tabelle"/>
              <w:overflowPunct w:val="0"/>
              <w:autoSpaceDE w:val="0"/>
              <w:autoSpaceDN w:val="0"/>
              <w:adjustRightInd w:val="0"/>
              <w:jc w:val="both"/>
              <w:textAlignment w:val="baseline"/>
              <w:rPr>
                <w:b/>
                <w:sz w:val="16"/>
                <w:szCs w:val="16"/>
                <w:lang w:val="de-CH"/>
              </w:rPr>
            </w:pPr>
            <w:r w:rsidRPr="005A2236">
              <w:rPr>
                <w:b/>
                <w:sz w:val="16"/>
                <w:szCs w:val="16"/>
                <w:lang w:val="de-CH"/>
              </w:rPr>
              <w:t>VG</w:t>
            </w:r>
            <w:r w:rsidR="0042796B">
              <w:rPr>
                <w:rStyle w:val="Funotenzeichen"/>
                <w:b/>
                <w:sz w:val="16"/>
                <w:szCs w:val="16"/>
                <w:lang w:val="de-CH"/>
              </w:rPr>
              <w:footnoteReference w:id="2"/>
            </w:r>
          </w:p>
        </w:tc>
        <w:tc>
          <w:tcPr>
            <w:tcW w:w="4522" w:type="dxa"/>
            <w:tcBorders>
              <w:top w:val="single" w:sz="4" w:space="0" w:color="auto"/>
            </w:tcBorders>
            <w:shd w:val="clear" w:color="auto" w:fill="auto"/>
          </w:tcPr>
          <w:p w:rsidR="005A2236" w:rsidRPr="005A2236" w:rsidRDefault="005A2236" w:rsidP="006E0165">
            <w:pPr>
              <w:pStyle w:val="Tabelle"/>
              <w:overflowPunct w:val="0"/>
              <w:autoSpaceDE w:val="0"/>
              <w:autoSpaceDN w:val="0"/>
              <w:adjustRightInd w:val="0"/>
              <w:jc w:val="both"/>
              <w:textAlignment w:val="baseline"/>
              <w:rPr>
                <w:b/>
                <w:sz w:val="16"/>
                <w:szCs w:val="16"/>
                <w:lang w:val="de-CH"/>
              </w:rPr>
            </w:pPr>
            <w:r w:rsidRPr="005A2236">
              <w:rPr>
                <w:b/>
                <w:sz w:val="16"/>
                <w:szCs w:val="16"/>
                <w:lang w:val="de-CH"/>
              </w:rPr>
              <w:t>Freigrenze nach ADR - GGBV</w:t>
            </w:r>
          </w:p>
        </w:tc>
      </w:tr>
      <w:tr w:rsidR="005A2236" w:rsidRPr="005A2236" w:rsidTr="003F215E">
        <w:tc>
          <w:tcPr>
            <w:tcW w:w="1531" w:type="dxa"/>
            <w:shd w:val="clear" w:color="auto" w:fill="F2F2F2" w:themeFill="background1" w:themeFillShade="F2"/>
            <w:vAlign w:val="center"/>
          </w:tcPr>
          <w:p w:rsidR="005A2236" w:rsidRPr="005A2236" w:rsidRDefault="005A2236" w:rsidP="006E0165">
            <w:pPr>
              <w:pStyle w:val="Tabelle"/>
              <w:overflowPunct w:val="0"/>
              <w:autoSpaceDE w:val="0"/>
              <w:autoSpaceDN w:val="0"/>
              <w:adjustRightInd w:val="0"/>
              <w:jc w:val="both"/>
              <w:textAlignment w:val="baseline"/>
              <w:rPr>
                <w:sz w:val="16"/>
                <w:szCs w:val="16"/>
                <w:lang w:val="de-CH"/>
              </w:rPr>
            </w:pPr>
            <w:r w:rsidRPr="005A2236">
              <w:rPr>
                <w:sz w:val="16"/>
                <w:szCs w:val="16"/>
                <w:lang w:val="de-CH"/>
              </w:rPr>
              <w:t>6.2</w:t>
            </w:r>
          </w:p>
        </w:tc>
        <w:tc>
          <w:tcPr>
            <w:tcW w:w="1417" w:type="dxa"/>
            <w:shd w:val="clear" w:color="auto" w:fill="F2F2F2" w:themeFill="background1" w:themeFillShade="F2"/>
            <w:vAlign w:val="center"/>
          </w:tcPr>
          <w:p w:rsidR="005A2236" w:rsidRPr="005A2236" w:rsidRDefault="005A2236" w:rsidP="006E0165">
            <w:pPr>
              <w:pStyle w:val="Tabelle"/>
              <w:overflowPunct w:val="0"/>
              <w:autoSpaceDE w:val="0"/>
              <w:autoSpaceDN w:val="0"/>
              <w:adjustRightInd w:val="0"/>
              <w:jc w:val="both"/>
              <w:textAlignment w:val="baseline"/>
              <w:rPr>
                <w:sz w:val="16"/>
                <w:szCs w:val="16"/>
                <w:lang w:val="de-CH"/>
              </w:rPr>
            </w:pPr>
            <w:r w:rsidRPr="005A2236">
              <w:rPr>
                <w:sz w:val="16"/>
                <w:szCs w:val="16"/>
                <w:lang w:val="de-CH"/>
              </w:rPr>
              <w:t>B</w:t>
            </w:r>
          </w:p>
        </w:tc>
        <w:tc>
          <w:tcPr>
            <w:tcW w:w="1553" w:type="dxa"/>
            <w:shd w:val="clear" w:color="auto" w:fill="F2F2F2" w:themeFill="background1" w:themeFillShade="F2"/>
            <w:vAlign w:val="center"/>
          </w:tcPr>
          <w:p w:rsidR="005A2236" w:rsidRPr="005A2236" w:rsidRDefault="005A2236" w:rsidP="006E0165">
            <w:pPr>
              <w:pStyle w:val="Tabelle"/>
              <w:overflowPunct w:val="0"/>
              <w:autoSpaceDE w:val="0"/>
              <w:autoSpaceDN w:val="0"/>
              <w:adjustRightInd w:val="0"/>
              <w:jc w:val="both"/>
              <w:textAlignment w:val="baseline"/>
              <w:rPr>
                <w:sz w:val="16"/>
                <w:szCs w:val="16"/>
                <w:lang w:val="de-CH"/>
              </w:rPr>
            </w:pPr>
            <w:r w:rsidRPr="005A2236">
              <w:rPr>
                <w:sz w:val="16"/>
                <w:szCs w:val="16"/>
                <w:lang w:val="de-CH"/>
              </w:rPr>
              <w:t>3291</w:t>
            </w:r>
          </w:p>
        </w:tc>
        <w:tc>
          <w:tcPr>
            <w:tcW w:w="851" w:type="dxa"/>
            <w:shd w:val="clear" w:color="auto" w:fill="F2F2F2" w:themeFill="background1" w:themeFillShade="F2"/>
            <w:vAlign w:val="center"/>
          </w:tcPr>
          <w:p w:rsidR="005A2236" w:rsidRPr="005A2236" w:rsidRDefault="005A2236" w:rsidP="006E0165">
            <w:pPr>
              <w:pStyle w:val="Tabelle"/>
              <w:overflowPunct w:val="0"/>
              <w:autoSpaceDE w:val="0"/>
              <w:autoSpaceDN w:val="0"/>
              <w:adjustRightInd w:val="0"/>
              <w:jc w:val="both"/>
              <w:textAlignment w:val="baseline"/>
              <w:rPr>
                <w:sz w:val="16"/>
                <w:szCs w:val="16"/>
                <w:lang w:val="de-CH"/>
              </w:rPr>
            </w:pPr>
            <w:r w:rsidRPr="005A2236">
              <w:rPr>
                <w:sz w:val="16"/>
                <w:szCs w:val="16"/>
                <w:lang w:val="de-CH"/>
              </w:rPr>
              <w:t>II</w:t>
            </w:r>
          </w:p>
        </w:tc>
        <w:tc>
          <w:tcPr>
            <w:tcW w:w="4522" w:type="dxa"/>
            <w:shd w:val="clear" w:color="auto" w:fill="F2F2F2" w:themeFill="background1" w:themeFillShade="F2"/>
          </w:tcPr>
          <w:p w:rsidR="005A2236" w:rsidRPr="005A2236" w:rsidRDefault="005A2236" w:rsidP="006E0165">
            <w:pPr>
              <w:pStyle w:val="Tabelle"/>
              <w:overflowPunct w:val="0"/>
              <w:autoSpaceDE w:val="0"/>
              <w:autoSpaceDN w:val="0"/>
              <w:adjustRightInd w:val="0"/>
              <w:jc w:val="both"/>
              <w:textAlignment w:val="baseline"/>
              <w:rPr>
                <w:sz w:val="16"/>
                <w:szCs w:val="16"/>
                <w:lang w:val="de-CH"/>
              </w:rPr>
            </w:pPr>
            <w:r w:rsidRPr="005A2236">
              <w:rPr>
                <w:sz w:val="16"/>
                <w:szCs w:val="16"/>
                <w:lang w:val="de-CH"/>
              </w:rPr>
              <w:t>333 kg oder Liter</w:t>
            </w:r>
          </w:p>
        </w:tc>
      </w:tr>
    </w:tbl>
    <w:p w:rsidR="00852AF0" w:rsidRDefault="00852AF0">
      <w:pPr>
        <w:sectPr w:rsidR="00852AF0" w:rsidSect="004E03D2">
          <w:headerReference w:type="default" r:id="rId8"/>
          <w:pgSz w:w="11906" w:h="16838" w:code="9"/>
          <w:pgMar w:top="2892" w:right="1021" w:bottom="794" w:left="1021" w:header="850" w:footer="0" w:gutter="0"/>
          <w:cols w:space="708"/>
          <w:docGrid w:linePitch="360"/>
        </w:sectPr>
      </w:pPr>
    </w:p>
    <w:p w:rsidR="00852AF0" w:rsidRPr="00852AF0" w:rsidRDefault="00626941" w:rsidP="00626941">
      <w:pPr>
        <w:pStyle w:val="03BAFUUntertitel"/>
        <w:ind w:left="392" w:hanging="392"/>
        <w:rPr>
          <w:rStyle w:val="05BAFUGrundschriftkursiv"/>
        </w:rPr>
      </w:pPr>
      <w:r>
        <w:rPr>
          <w:noProof/>
          <w:lang w:eastAsia="de-CH"/>
        </w:rPr>
        <w:lastRenderedPageBreak/>
        <w:t>2.2</w:t>
      </w:r>
      <w:r>
        <w:rPr>
          <w:noProof/>
          <w:lang w:eastAsia="de-CH"/>
        </w:rPr>
        <w:tab/>
      </w:r>
      <w:r w:rsidRPr="00626941">
        <w:rPr>
          <w:noProof/>
          <w:lang w:eastAsia="de-CH"/>
        </w:rPr>
        <w:t>Entsorgungsplan für feste Abfälle</w:t>
      </w:r>
      <w:r w:rsidR="00ED7710">
        <w:rPr>
          <w:rStyle w:val="05BAFUGrundschriftkursiv"/>
          <w:b w:val="0"/>
          <w:i w:val="0"/>
        </w:rPr>
        <w:br/>
      </w: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000" w:firstRow="0" w:lastRow="0" w:firstColumn="0" w:lastColumn="0" w:noHBand="0" w:noVBand="0"/>
      </w:tblPr>
      <w:tblGrid>
        <w:gridCol w:w="700"/>
        <w:gridCol w:w="4364"/>
        <w:gridCol w:w="6591"/>
        <w:gridCol w:w="2881"/>
        <w:gridCol w:w="656"/>
      </w:tblGrid>
      <w:tr w:rsidR="00626941" w:rsidRPr="00626941" w:rsidTr="00626941">
        <w:trPr>
          <w:trHeight w:val="20"/>
          <w:tblHeader/>
        </w:trPr>
        <w:tc>
          <w:tcPr>
            <w:tcW w:w="230" w:type="pct"/>
            <w:tcBorders>
              <w:top w:val="single" w:sz="4" w:space="0" w:color="000000" w:themeColor="text1"/>
              <w:left w:val="nil"/>
              <w:bottom w:val="nil"/>
              <w:right w:val="nil"/>
            </w:tcBorders>
            <w:textDirection w:val="btLr"/>
            <w:vAlign w:val="center"/>
          </w:tcPr>
          <w:p w:rsidR="00626941" w:rsidRPr="00626941" w:rsidRDefault="00626941" w:rsidP="006E0165">
            <w:pPr>
              <w:spacing w:before="20" w:after="20" w:line="240" w:lineRule="exact"/>
              <w:ind w:left="57" w:right="57"/>
              <w:rPr>
                <w:rFonts w:ascii="Arial" w:hAnsi="Arial" w:cs="Arial"/>
                <w:b/>
                <w:sz w:val="16"/>
                <w:szCs w:val="16"/>
              </w:rPr>
            </w:pPr>
          </w:p>
        </w:tc>
        <w:tc>
          <w:tcPr>
            <w:tcW w:w="1436" w:type="pct"/>
            <w:tcBorders>
              <w:top w:val="single" w:sz="4" w:space="0" w:color="000000" w:themeColor="text1"/>
              <w:left w:val="nil"/>
              <w:bottom w:val="nil"/>
              <w:right w:val="nil"/>
            </w:tcBorders>
            <w:vAlign w:val="center"/>
          </w:tcPr>
          <w:p w:rsidR="00626941" w:rsidRPr="00626941" w:rsidRDefault="00626941" w:rsidP="006E0165">
            <w:pPr>
              <w:spacing w:before="20" w:after="20" w:line="240" w:lineRule="exact"/>
              <w:ind w:left="57" w:right="57"/>
              <w:rPr>
                <w:rFonts w:ascii="Arial" w:hAnsi="Arial" w:cs="Arial"/>
                <w:b/>
                <w:sz w:val="16"/>
                <w:szCs w:val="16"/>
              </w:rPr>
            </w:pPr>
            <w:r w:rsidRPr="00626941">
              <w:rPr>
                <w:rFonts w:ascii="Arial" w:hAnsi="Arial" w:cs="Arial"/>
                <w:b/>
                <w:sz w:val="16"/>
                <w:szCs w:val="16"/>
              </w:rPr>
              <w:t xml:space="preserve">Feste Abfälle </w:t>
            </w:r>
          </w:p>
        </w:tc>
        <w:tc>
          <w:tcPr>
            <w:tcW w:w="2169" w:type="pct"/>
            <w:tcBorders>
              <w:top w:val="single" w:sz="4" w:space="0" w:color="000000" w:themeColor="text1"/>
              <w:left w:val="nil"/>
              <w:bottom w:val="nil"/>
              <w:right w:val="nil"/>
            </w:tcBorders>
            <w:vAlign w:val="center"/>
          </w:tcPr>
          <w:p w:rsidR="00626941" w:rsidRPr="00626941" w:rsidRDefault="00626941" w:rsidP="006E0165">
            <w:pPr>
              <w:spacing w:before="20" w:after="20" w:line="240" w:lineRule="exact"/>
              <w:ind w:left="57" w:right="57"/>
              <w:rPr>
                <w:rFonts w:ascii="Arial" w:hAnsi="Arial" w:cs="Arial"/>
                <w:b/>
                <w:sz w:val="16"/>
                <w:szCs w:val="16"/>
              </w:rPr>
            </w:pPr>
            <w:r w:rsidRPr="00626941">
              <w:rPr>
                <w:rFonts w:ascii="Arial" w:hAnsi="Arial" w:cs="Arial"/>
                <w:b/>
                <w:sz w:val="16"/>
                <w:szCs w:val="16"/>
              </w:rPr>
              <w:t xml:space="preserve">Wie </w:t>
            </w:r>
          </w:p>
        </w:tc>
        <w:tc>
          <w:tcPr>
            <w:tcW w:w="948" w:type="pct"/>
            <w:tcBorders>
              <w:top w:val="single" w:sz="4" w:space="0" w:color="000000" w:themeColor="text1"/>
              <w:left w:val="nil"/>
              <w:bottom w:val="nil"/>
              <w:right w:val="nil"/>
            </w:tcBorders>
            <w:vAlign w:val="center"/>
          </w:tcPr>
          <w:p w:rsidR="00626941" w:rsidRPr="00626941" w:rsidRDefault="00626941" w:rsidP="006E0165">
            <w:pPr>
              <w:spacing w:before="20" w:after="20" w:line="240" w:lineRule="exact"/>
              <w:ind w:left="57" w:right="57"/>
              <w:rPr>
                <w:rFonts w:ascii="Arial" w:hAnsi="Arial" w:cs="Arial"/>
                <w:b/>
                <w:sz w:val="16"/>
                <w:szCs w:val="16"/>
              </w:rPr>
            </w:pPr>
            <w:r w:rsidRPr="00626941">
              <w:rPr>
                <w:rFonts w:ascii="Arial" w:hAnsi="Arial" w:cs="Arial"/>
                <w:b/>
                <w:sz w:val="16"/>
                <w:szCs w:val="16"/>
              </w:rPr>
              <w:t>Wann / Periodizität</w:t>
            </w:r>
          </w:p>
        </w:tc>
        <w:tc>
          <w:tcPr>
            <w:tcW w:w="216" w:type="pct"/>
            <w:tcBorders>
              <w:top w:val="single" w:sz="4" w:space="0" w:color="000000" w:themeColor="text1"/>
              <w:left w:val="nil"/>
              <w:bottom w:val="nil"/>
              <w:right w:val="nil"/>
            </w:tcBorders>
            <w:vAlign w:val="center"/>
          </w:tcPr>
          <w:p w:rsidR="00626941" w:rsidRPr="00626941" w:rsidRDefault="00626941" w:rsidP="006E0165">
            <w:pPr>
              <w:spacing w:before="20" w:after="20" w:line="240" w:lineRule="exact"/>
              <w:ind w:left="57" w:right="57"/>
              <w:rPr>
                <w:rFonts w:ascii="Arial" w:hAnsi="Arial" w:cs="Arial"/>
                <w:b/>
                <w:sz w:val="16"/>
                <w:szCs w:val="16"/>
              </w:rPr>
            </w:pPr>
            <w:r w:rsidRPr="00626941">
              <w:rPr>
                <w:rFonts w:ascii="Arial" w:hAnsi="Arial" w:cs="Arial"/>
                <w:b/>
                <w:sz w:val="16"/>
                <w:szCs w:val="16"/>
              </w:rPr>
              <w:t>Wer</w:t>
            </w:r>
          </w:p>
        </w:tc>
      </w:tr>
      <w:tr w:rsidR="00626941" w:rsidRPr="00626941" w:rsidTr="00FC4611">
        <w:trPr>
          <w:trHeight w:val="20"/>
        </w:trPr>
        <w:tc>
          <w:tcPr>
            <w:tcW w:w="230" w:type="pct"/>
            <w:vMerge w:val="restart"/>
            <w:tcBorders>
              <w:top w:val="nil"/>
            </w:tcBorders>
            <w:shd w:val="clear" w:color="auto" w:fill="D9D9D9" w:themeFill="background1" w:themeFillShade="D9"/>
            <w:textDirection w:val="btLr"/>
            <w:vAlign w:val="center"/>
          </w:tcPr>
          <w:p w:rsidR="00626941" w:rsidRPr="00626941" w:rsidRDefault="00626941" w:rsidP="006E0165">
            <w:pPr>
              <w:pStyle w:val="Tabelle"/>
              <w:spacing w:line="240" w:lineRule="exact"/>
              <w:jc w:val="center"/>
              <w:rPr>
                <w:rFonts w:cs="Arial"/>
                <w:b/>
                <w:sz w:val="16"/>
                <w:szCs w:val="16"/>
                <w:lang w:val="de-CH"/>
              </w:rPr>
            </w:pPr>
            <w:r w:rsidRPr="00626941">
              <w:rPr>
                <w:rFonts w:cs="Arial"/>
                <w:b/>
                <w:sz w:val="16"/>
                <w:szCs w:val="16"/>
                <w:lang w:val="de-CH"/>
              </w:rPr>
              <w:t>Beschreibung der Ab</w:t>
            </w:r>
            <w:r w:rsidRPr="00626941">
              <w:rPr>
                <w:rFonts w:cs="Arial"/>
                <w:b/>
                <w:sz w:val="16"/>
                <w:szCs w:val="16"/>
                <w:lang w:val="de-CH"/>
              </w:rPr>
              <w:softHyphen/>
              <w:t>fälle und</w:t>
            </w:r>
            <w:r w:rsidRPr="00626941">
              <w:rPr>
                <w:rFonts w:cs="Arial"/>
                <w:b/>
                <w:sz w:val="16"/>
                <w:szCs w:val="16"/>
                <w:shd w:val="clear" w:color="auto" w:fill="F2F2F2" w:themeFill="background1" w:themeFillShade="F2"/>
                <w:lang w:val="de-CH"/>
              </w:rPr>
              <w:t xml:space="preserve"> </w:t>
            </w:r>
            <w:r w:rsidRPr="00626941">
              <w:rPr>
                <w:rFonts w:cs="Arial"/>
                <w:b/>
                <w:sz w:val="16"/>
                <w:szCs w:val="16"/>
                <w:lang w:val="de-CH"/>
              </w:rPr>
              <w:t>Sammlung</w:t>
            </w:r>
          </w:p>
        </w:tc>
        <w:tc>
          <w:tcPr>
            <w:tcW w:w="1436" w:type="pct"/>
            <w:tcBorders>
              <w:top w:val="nil"/>
            </w:tcBorders>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Grundsätze der Trennung fester Abfälle</w:t>
            </w:r>
          </w:p>
        </w:tc>
        <w:tc>
          <w:tcPr>
            <w:tcW w:w="2169" w:type="pct"/>
            <w:tcBorders>
              <w:top w:val="nil"/>
            </w:tcBorders>
            <w:shd w:val="clear" w:color="auto" w:fill="F2F2F2" w:themeFill="background1" w:themeFillShade="F2"/>
          </w:tcPr>
          <w:p w:rsidR="00626941" w:rsidRPr="00626941" w:rsidRDefault="00626941" w:rsidP="006E0165">
            <w:pPr>
              <w:pStyle w:val="Tabelle"/>
              <w:spacing w:before="0" w:after="0" w:line="200" w:lineRule="exact"/>
              <w:ind w:left="0" w:right="0"/>
              <w:rPr>
                <w:rFonts w:cs="Arial"/>
                <w:sz w:val="16"/>
                <w:szCs w:val="16"/>
                <w:lang w:val="de-CH"/>
              </w:rPr>
            </w:pPr>
            <w:r w:rsidRPr="00626941">
              <w:rPr>
                <w:rFonts w:cs="Arial"/>
                <w:sz w:val="16"/>
                <w:szCs w:val="16"/>
                <w:lang w:val="de-CH"/>
              </w:rPr>
              <w:t>Glasabfälle sind separat von Plastik</w:t>
            </w:r>
            <w:r w:rsidRPr="00626941">
              <w:rPr>
                <w:rFonts w:cs="Arial"/>
                <w:sz w:val="16"/>
                <w:szCs w:val="16"/>
                <w:lang w:val="de-CH"/>
              </w:rPr>
              <w:softHyphen/>
              <w:t>abfällen und von Abfällen mit Verletzungsgefahr zu sammeln.</w:t>
            </w:r>
          </w:p>
        </w:tc>
        <w:tc>
          <w:tcPr>
            <w:tcW w:w="948" w:type="pct"/>
            <w:tcBorders>
              <w:top w:val="nil"/>
            </w:tcBorders>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216" w:type="pct"/>
            <w:tcBorders>
              <w:top w:val="nil"/>
            </w:tcBorders>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FC4611" w:rsidRPr="00626941" w:rsidTr="00FC4611">
        <w:trPr>
          <w:trHeight w:val="863"/>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Kontaminiertes Verbrauchs</w:t>
            </w:r>
            <w:r w:rsidRPr="00626941">
              <w:rPr>
                <w:rFonts w:cs="Arial"/>
                <w:sz w:val="16"/>
                <w:szCs w:val="16"/>
                <w:lang w:val="de-CH"/>
              </w:rPr>
              <w:softHyphen/>
              <w:t>material mit Ver</w:t>
            </w:r>
            <w:r w:rsidRPr="00626941">
              <w:rPr>
                <w:rFonts w:cs="Arial"/>
                <w:sz w:val="16"/>
                <w:szCs w:val="16"/>
                <w:lang w:val="de-CH"/>
              </w:rPr>
              <w:softHyphen/>
              <w:t>letz</w:t>
            </w:r>
            <w:r w:rsidRPr="00626941">
              <w:rPr>
                <w:rFonts w:cs="Arial"/>
                <w:sz w:val="16"/>
                <w:szCs w:val="16"/>
                <w:lang w:val="de-CH"/>
              </w:rPr>
              <w:softHyphen/>
              <w:t>ungsgefahr (</w:t>
            </w:r>
            <w:proofErr w:type="spellStart"/>
            <w:r w:rsidRPr="00626941">
              <w:rPr>
                <w:rFonts w:cs="Arial"/>
                <w:i/>
                <w:sz w:val="16"/>
                <w:szCs w:val="16"/>
                <w:lang w:val="de-CH"/>
              </w:rPr>
              <w:t>sharps</w:t>
            </w:r>
            <w:proofErr w:type="spellEnd"/>
            <w:r w:rsidRPr="00626941">
              <w:rPr>
                <w:rFonts w:cs="Arial"/>
                <w:sz w:val="16"/>
                <w:szCs w:val="16"/>
                <w:lang w:val="de-CH"/>
              </w:rPr>
              <w:t>): z.B. Spritzen, Skal</w:t>
            </w:r>
            <w:r w:rsidRPr="00626941">
              <w:rPr>
                <w:rFonts w:cs="Arial"/>
                <w:sz w:val="16"/>
                <w:szCs w:val="16"/>
                <w:lang w:val="de-CH"/>
              </w:rPr>
              <w:softHyphen/>
              <w:t xml:space="preserve">pelle und Injektionsnadeln </w:t>
            </w:r>
          </w:p>
        </w:tc>
        <w:tc>
          <w:tcPr>
            <w:tcW w:w="2169"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Sammlung in durchstichsiche</w:t>
            </w:r>
            <w:r w:rsidRPr="00626941">
              <w:rPr>
                <w:rFonts w:cs="Arial"/>
                <w:sz w:val="16"/>
                <w:szCs w:val="16"/>
                <w:lang w:val="de-CH"/>
              </w:rPr>
              <w:softHyphen/>
              <w:t>ren, undurchsichtigen und fest ver</w:t>
            </w:r>
            <w:r w:rsidRPr="00626941">
              <w:rPr>
                <w:rFonts w:cs="Arial"/>
                <w:sz w:val="16"/>
                <w:szCs w:val="16"/>
                <w:lang w:val="de-CH"/>
              </w:rPr>
              <w:softHyphen/>
              <w:t>schliessbaren, dichten Kunststoffbehältern, welche sich nach Ver</w:t>
            </w:r>
            <w:r w:rsidRPr="00626941">
              <w:rPr>
                <w:rFonts w:cs="Arial"/>
                <w:sz w:val="16"/>
                <w:szCs w:val="16"/>
                <w:lang w:val="de-CH"/>
              </w:rPr>
              <w:softHyphen/>
              <w:t xml:space="preserve">schluss nicht mehr öffnen lassen. </w:t>
            </w:r>
          </w:p>
        </w:tc>
        <w:tc>
          <w:tcPr>
            <w:tcW w:w="948"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Bei Bedarf aber spätestens so lange sich Sammel</w:t>
            </w:r>
            <w:r w:rsidRPr="00626941">
              <w:rPr>
                <w:rFonts w:cs="Arial"/>
                <w:sz w:val="16"/>
                <w:szCs w:val="16"/>
                <w:lang w:val="de-CH"/>
              </w:rPr>
              <w:softHyphen/>
              <w:t>behälter gefahrlos ver</w:t>
            </w:r>
            <w:r w:rsidRPr="00626941">
              <w:rPr>
                <w:rFonts w:cs="Arial"/>
                <w:sz w:val="16"/>
                <w:szCs w:val="16"/>
                <w:lang w:val="de-CH"/>
              </w:rPr>
              <w:softHyphen/>
              <w:t>schliessen lässt.</w:t>
            </w: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FC4611" w:rsidRPr="00626941" w:rsidTr="00FC4611">
        <w:trPr>
          <w:trHeight w:val="564"/>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 xml:space="preserve">Kulturen von Mikroorganismen (z.B. </w:t>
            </w:r>
            <w:proofErr w:type="spellStart"/>
            <w:r w:rsidRPr="00626941">
              <w:rPr>
                <w:rFonts w:cs="Arial"/>
                <w:sz w:val="16"/>
                <w:szCs w:val="16"/>
                <w:lang w:val="de-CH"/>
              </w:rPr>
              <w:t>Agarplatten</w:t>
            </w:r>
            <w:proofErr w:type="spellEnd"/>
            <w:r w:rsidRPr="00626941">
              <w:rPr>
                <w:rFonts w:cs="Arial"/>
                <w:sz w:val="16"/>
                <w:szCs w:val="16"/>
                <w:lang w:val="de-CH"/>
              </w:rPr>
              <w:t>, Zellkultur</w:t>
            </w:r>
            <w:r w:rsidRPr="00626941">
              <w:rPr>
                <w:rFonts w:cs="Arial"/>
                <w:sz w:val="16"/>
                <w:szCs w:val="16"/>
                <w:lang w:val="de-CH"/>
              </w:rPr>
              <w:softHyphen/>
              <w:t>flaschen aus Kunststoff ohne Kulturmedium)</w:t>
            </w:r>
          </w:p>
        </w:tc>
        <w:tc>
          <w:tcPr>
            <w:tcW w:w="2169" w:type="pct"/>
            <w:vMerge w:val="restar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Zusammen oder getrennt in autoklavierbaren Säcken in festen, aus</w:t>
            </w:r>
            <w:r w:rsidRPr="00626941">
              <w:rPr>
                <w:rFonts w:cs="Arial"/>
                <w:sz w:val="16"/>
                <w:szCs w:val="16"/>
                <w:lang w:val="de-CH"/>
              </w:rPr>
              <w:softHyphen/>
              <w:t>laufsicheren Behältern mit Deckel sammeln</w:t>
            </w:r>
          </w:p>
        </w:tc>
        <w:tc>
          <w:tcPr>
            <w:tcW w:w="948" w:type="pct"/>
            <w:vMerge w:val="restar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Bei Bedarf oder wenn Säcke höchstens zu 2/3 gefüllt sind; nicht pressen!</w:t>
            </w: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FC4611" w:rsidRPr="00626941" w:rsidTr="00FC4611">
        <w:trPr>
          <w:trHeight w:val="564"/>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Kontaminiertes Verbrauchs</w:t>
            </w:r>
            <w:r w:rsidRPr="00626941">
              <w:rPr>
                <w:rFonts w:cs="Arial"/>
                <w:sz w:val="16"/>
                <w:szCs w:val="16"/>
                <w:lang w:val="de-CH"/>
              </w:rPr>
              <w:softHyphen/>
              <w:t>material ohne Verletzungs</w:t>
            </w:r>
            <w:r w:rsidRPr="00626941">
              <w:rPr>
                <w:rFonts w:cs="Arial"/>
                <w:sz w:val="16"/>
                <w:szCs w:val="16"/>
                <w:lang w:val="de-CH"/>
              </w:rPr>
              <w:softHyphen/>
              <w:t>ge</w:t>
            </w:r>
            <w:r w:rsidRPr="00626941">
              <w:rPr>
                <w:rFonts w:cs="Arial"/>
                <w:sz w:val="16"/>
                <w:szCs w:val="16"/>
                <w:lang w:val="de-CH"/>
              </w:rPr>
              <w:softHyphen/>
              <w:t>fahr (</w:t>
            </w:r>
            <w:proofErr w:type="spellStart"/>
            <w:r w:rsidRPr="00626941">
              <w:rPr>
                <w:rFonts w:cs="Arial"/>
                <w:sz w:val="16"/>
                <w:szCs w:val="16"/>
                <w:lang w:val="de-CH"/>
              </w:rPr>
              <w:t>Pipettenspitzen</w:t>
            </w:r>
            <w:proofErr w:type="spellEnd"/>
            <w:r w:rsidRPr="00626941">
              <w:rPr>
                <w:rFonts w:cs="Arial"/>
                <w:sz w:val="16"/>
                <w:szCs w:val="16"/>
                <w:lang w:val="de-CH"/>
              </w:rPr>
              <w:t>, Kunst</w:t>
            </w:r>
            <w:r w:rsidRPr="00626941">
              <w:rPr>
                <w:rFonts w:cs="Arial"/>
                <w:sz w:val="16"/>
                <w:szCs w:val="16"/>
                <w:lang w:val="de-CH"/>
              </w:rPr>
              <w:softHyphen/>
              <w:t xml:space="preserve">stoffpipetten, </w:t>
            </w:r>
            <w:proofErr w:type="spellStart"/>
            <w:r w:rsidRPr="00626941">
              <w:rPr>
                <w:rFonts w:cs="Arial"/>
                <w:sz w:val="16"/>
                <w:szCs w:val="16"/>
                <w:lang w:val="de-CH"/>
              </w:rPr>
              <w:t>Eppendorftubes</w:t>
            </w:r>
            <w:proofErr w:type="spellEnd"/>
            <w:r w:rsidRPr="00626941">
              <w:rPr>
                <w:rFonts w:cs="Arial"/>
                <w:sz w:val="16"/>
                <w:szCs w:val="16"/>
                <w:lang w:val="de-CH"/>
              </w:rPr>
              <w:t>, Plastik</w:t>
            </w:r>
            <w:r w:rsidRPr="00626941">
              <w:rPr>
                <w:rFonts w:cs="Arial"/>
                <w:sz w:val="16"/>
                <w:szCs w:val="16"/>
                <w:lang w:val="de-CH"/>
              </w:rPr>
              <w:softHyphen/>
              <w:t>behälter, Wegwerfhandschuhe)</w:t>
            </w:r>
          </w:p>
        </w:tc>
        <w:tc>
          <w:tcPr>
            <w:tcW w:w="2169" w:type="pct"/>
            <w:vMerge/>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948" w:type="pct"/>
            <w:vMerge/>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FC4611" w:rsidRPr="00626941" w:rsidTr="00FC4611">
        <w:trPr>
          <w:trHeight w:val="564"/>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Diagnostische Proben (Blut</w:t>
            </w:r>
            <w:r w:rsidRPr="00626941">
              <w:rPr>
                <w:rFonts w:cs="Arial"/>
                <w:sz w:val="16"/>
                <w:szCs w:val="16"/>
                <w:lang w:val="de-CH"/>
              </w:rPr>
              <w:softHyphen/>
              <w:t>proben, Sekrete, Exkrete, Gewebeproben etc. in Kunst</w:t>
            </w:r>
            <w:r w:rsidRPr="00626941">
              <w:rPr>
                <w:rFonts w:cs="Arial"/>
                <w:sz w:val="16"/>
                <w:szCs w:val="16"/>
                <w:lang w:val="de-CH"/>
              </w:rPr>
              <w:softHyphen/>
              <w:t>stoff</w:t>
            </w:r>
            <w:r w:rsidRPr="00626941">
              <w:rPr>
                <w:rFonts w:cs="Arial"/>
                <w:sz w:val="16"/>
                <w:szCs w:val="16"/>
                <w:lang w:val="de-CH"/>
              </w:rPr>
              <w:softHyphen/>
              <w:t>röhrchen)</w:t>
            </w:r>
          </w:p>
        </w:tc>
        <w:tc>
          <w:tcPr>
            <w:tcW w:w="2169" w:type="pct"/>
            <w:vMerge/>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948" w:type="pct"/>
            <w:vMerge/>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626941" w:rsidRPr="00626941" w:rsidTr="001C0228">
        <w:trPr>
          <w:trHeight w:val="1048"/>
        </w:trPr>
        <w:tc>
          <w:tcPr>
            <w:tcW w:w="230" w:type="pct"/>
            <w:textDirection w:val="btLr"/>
            <w:vAlign w:val="center"/>
          </w:tcPr>
          <w:p w:rsidR="001C0228" w:rsidRDefault="00626941" w:rsidP="001C0228">
            <w:pPr>
              <w:pStyle w:val="Tabelle"/>
              <w:spacing w:before="0" w:after="0" w:line="200" w:lineRule="exact"/>
              <w:ind w:left="0" w:right="0"/>
              <w:jc w:val="center"/>
              <w:rPr>
                <w:rFonts w:cs="Arial"/>
                <w:b/>
                <w:sz w:val="16"/>
                <w:szCs w:val="16"/>
                <w:lang w:val="de-CH"/>
              </w:rPr>
            </w:pPr>
            <w:r w:rsidRPr="00626941">
              <w:rPr>
                <w:rFonts w:cs="Arial"/>
                <w:b/>
                <w:sz w:val="16"/>
                <w:szCs w:val="16"/>
                <w:lang w:val="de-CH"/>
              </w:rPr>
              <w:t>Kenn</w:t>
            </w:r>
            <w:r w:rsidR="001C0228">
              <w:rPr>
                <w:rFonts w:cs="Arial"/>
                <w:b/>
                <w:sz w:val="16"/>
                <w:szCs w:val="16"/>
                <w:lang w:val="de-CH"/>
              </w:rPr>
              <w:t>-</w:t>
            </w:r>
          </w:p>
          <w:p w:rsidR="00626941" w:rsidRPr="00626941" w:rsidRDefault="00626941" w:rsidP="001C0228">
            <w:pPr>
              <w:pStyle w:val="Tabelle"/>
              <w:spacing w:before="0" w:after="0" w:line="200" w:lineRule="exact"/>
              <w:ind w:left="0" w:right="0"/>
              <w:jc w:val="center"/>
              <w:rPr>
                <w:rFonts w:cs="Arial"/>
                <w:b/>
                <w:sz w:val="16"/>
                <w:szCs w:val="16"/>
                <w:lang w:val="de-CH"/>
              </w:rPr>
            </w:pPr>
            <w:proofErr w:type="spellStart"/>
            <w:r w:rsidRPr="00626941">
              <w:rPr>
                <w:rFonts w:cs="Arial"/>
                <w:b/>
                <w:sz w:val="16"/>
                <w:szCs w:val="16"/>
                <w:lang w:val="de-CH"/>
              </w:rPr>
              <w:t>zeichnung</w:t>
            </w:r>
            <w:proofErr w:type="spellEnd"/>
          </w:p>
        </w:tc>
        <w:tc>
          <w:tcPr>
            <w:tcW w:w="1436" w:type="pct"/>
          </w:tcPr>
          <w:p w:rsidR="00626941" w:rsidRPr="00626941" w:rsidRDefault="00626941" w:rsidP="006E0165">
            <w:pPr>
              <w:pStyle w:val="Tabelle"/>
              <w:spacing w:line="240" w:lineRule="exact"/>
              <w:rPr>
                <w:rFonts w:cs="Arial"/>
                <w:sz w:val="16"/>
                <w:szCs w:val="16"/>
                <w:lang w:val="de-CH"/>
              </w:rPr>
            </w:pPr>
          </w:p>
        </w:tc>
        <w:tc>
          <w:tcPr>
            <w:tcW w:w="2169"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Kennzeichnung aller Abfallbehälter oder Säcke mit dem Warnzeichen Bio-</w:t>
            </w:r>
            <w:proofErr w:type="spellStart"/>
            <w:r w:rsidRPr="00626941">
              <w:rPr>
                <w:rFonts w:cs="Arial"/>
                <w:sz w:val="16"/>
                <w:szCs w:val="16"/>
                <w:lang w:val="de-CH"/>
              </w:rPr>
              <w:t>Hazard</w:t>
            </w:r>
            <w:proofErr w:type="spellEnd"/>
            <w:r w:rsidRPr="00626941">
              <w:rPr>
                <w:rFonts w:cs="Arial"/>
                <w:sz w:val="16"/>
                <w:szCs w:val="16"/>
                <w:lang w:val="de-CH"/>
              </w:rPr>
              <w:t>.</w:t>
            </w:r>
          </w:p>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Abfälle mit Verletzungsgefahr sind als solche (z.B. „Vorsicht Nadeln“) gekennzeichnet.</w:t>
            </w:r>
          </w:p>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Abfallbehälter und Säcke sind vor dem Auto</w:t>
            </w:r>
            <w:r w:rsidRPr="00626941">
              <w:rPr>
                <w:rFonts w:cs="Arial"/>
                <w:sz w:val="16"/>
                <w:szCs w:val="16"/>
                <w:lang w:val="de-CH"/>
              </w:rPr>
              <w:softHyphen/>
              <w:t>klavieren mit einem temperatur-sensitiven Indikator zu versehen.</w:t>
            </w:r>
            <w:r w:rsidRPr="00626941">
              <w:rPr>
                <w:rFonts w:eastAsia="Times" w:cs="Arial"/>
                <w:i/>
                <w:smallCaps/>
                <w:color w:val="008080"/>
                <w:sz w:val="16"/>
                <w:szCs w:val="16"/>
                <w:lang w:val="de-CH"/>
              </w:rPr>
              <w:t xml:space="preserve"> </w:t>
            </w:r>
          </w:p>
        </w:tc>
        <w:tc>
          <w:tcPr>
            <w:tcW w:w="948" w:type="pct"/>
          </w:tcPr>
          <w:p w:rsidR="00626941" w:rsidRPr="00626941" w:rsidRDefault="00626941" w:rsidP="006E0165">
            <w:pPr>
              <w:pStyle w:val="Tabelle"/>
              <w:spacing w:line="240" w:lineRule="exact"/>
              <w:rPr>
                <w:rFonts w:cs="Arial"/>
                <w:sz w:val="16"/>
                <w:szCs w:val="16"/>
                <w:lang w:val="de-CH"/>
              </w:rPr>
            </w:pPr>
          </w:p>
        </w:tc>
        <w:tc>
          <w:tcPr>
            <w:tcW w:w="216" w:type="pct"/>
          </w:tcPr>
          <w:p w:rsidR="00626941" w:rsidRPr="00626941" w:rsidRDefault="00626941" w:rsidP="006E0165">
            <w:pPr>
              <w:pStyle w:val="Tabelle"/>
              <w:spacing w:line="240" w:lineRule="exact"/>
              <w:rPr>
                <w:rFonts w:cs="Arial"/>
                <w:sz w:val="16"/>
                <w:szCs w:val="16"/>
                <w:lang w:val="de-CH"/>
              </w:rPr>
            </w:pPr>
          </w:p>
        </w:tc>
      </w:tr>
      <w:tr w:rsidR="00626941" w:rsidRPr="00626941" w:rsidTr="00FC4611">
        <w:trPr>
          <w:trHeight w:val="20"/>
        </w:trPr>
        <w:tc>
          <w:tcPr>
            <w:tcW w:w="230" w:type="pct"/>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r w:rsidRPr="00626941">
              <w:rPr>
                <w:rFonts w:cs="Arial"/>
                <w:b/>
                <w:sz w:val="16"/>
                <w:szCs w:val="16"/>
                <w:lang w:val="de-CH"/>
              </w:rPr>
              <w:t>Lagerung</w:t>
            </w: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Zwischenlagerung im Labor</w:t>
            </w:r>
          </w:p>
        </w:tc>
        <w:tc>
          <w:tcPr>
            <w:tcW w:w="2169"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Offene Behälter und kleine Säcke (bis max. 2 Liter) können kurzfristig in der Biosicherheitswerkbank zwischengelagert werden, sind aber mind. 1-mal wöchentlich in grösseren Biosicherheits</w:t>
            </w:r>
            <w:r w:rsidRPr="00626941">
              <w:rPr>
                <w:rFonts w:cs="Arial"/>
                <w:sz w:val="16"/>
                <w:szCs w:val="16"/>
                <w:lang w:val="de-CH"/>
              </w:rPr>
              <w:softHyphen/>
              <w:t xml:space="preserve">säcken zu entsorgen. </w:t>
            </w:r>
          </w:p>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Volle, verschlossene Bio-</w:t>
            </w:r>
            <w:proofErr w:type="spellStart"/>
            <w:r w:rsidRPr="00626941">
              <w:rPr>
                <w:rFonts w:cs="Arial"/>
                <w:sz w:val="16"/>
                <w:szCs w:val="16"/>
                <w:lang w:val="de-CH"/>
              </w:rPr>
              <w:t>Hazard</w:t>
            </w:r>
            <w:proofErr w:type="spellEnd"/>
            <w:r w:rsidRPr="00626941">
              <w:rPr>
                <w:rFonts w:cs="Arial"/>
                <w:sz w:val="16"/>
                <w:szCs w:val="16"/>
                <w:lang w:val="de-CH"/>
              </w:rPr>
              <w:t xml:space="preserve">-Plastiksäcke sind in einem Container zwischen zu lagern. </w:t>
            </w:r>
          </w:p>
        </w:tc>
        <w:tc>
          <w:tcPr>
            <w:tcW w:w="948"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 xml:space="preserve">Wöchentlich </w:t>
            </w: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626941" w:rsidRPr="00626941" w:rsidTr="00C76B89">
        <w:trPr>
          <w:trHeight w:val="273"/>
        </w:trPr>
        <w:tc>
          <w:tcPr>
            <w:tcW w:w="230" w:type="pct"/>
            <w:textDirection w:val="btLr"/>
            <w:vAlign w:val="center"/>
          </w:tcPr>
          <w:p w:rsidR="00C76B89" w:rsidRDefault="00626941" w:rsidP="006E0165">
            <w:pPr>
              <w:pStyle w:val="Tabelle"/>
              <w:spacing w:before="0" w:after="0" w:line="200" w:lineRule="exact"/>
              <w:ind w:left="0" w:right="0"/>
              <w:jc w:val="center"/>
              <w:rPr>
                <w:rFonts w:cs="Arial"/>
                <w:b/>
                <w:sz w:val="16"/>
                <w:szCs w:val="16"/>
                <w:lang w:val="de-CH"/>
              </w:rPr>
            </w:pPr>
            <w:r w:rsidRPr="00626941">
              <w:rPr>
                <w:rFonts w:cs="Arial"/>
                <w:b/>
                <w:sz w:val="16"/>
                <w:szCs w:val="16"/>
                <w:lang w:val="de-CH"/>
              </w:rPr>
              <w:t>Trans</w:t>
            </w:r>
            <w:r w:rsidR="00C76B89">
              <w:rPr>
                <w:rFonts w:cs="Arial"/>
                <w:b/>
                <w:sz w:val="16"/>
                <w:szCs w:val="16"/>
                <w:lang w:val="de-CH"/>
              </w:rPr>
              <w:t>-</w:t>
            </w:r>
          </w:p>
          <w:p w:rsidR="00626941" w:rsidRPr="00626941" w:rsidRDefault="00626941" w:rsidP="006E0165">
            <w:pPr>
              <w:pStyle w:val="Tabelle"/>
              <w:spacing w:before="0" w:after="0" w:line="200" w:lineRule="exact"/>
              <w:ind w:left="0" w:right="0"/>
              <w:jc w:val="center"/>
              <w:rPr>
                <w:rFonts w:cs="Arial"/>
                <w:b/>
                <w:sz w:val="16"/>
                <w:szCs w:val="16"/>
                <w:lang w:val="de-CH"/>
              </w:rPr>
            </w:pPr>
            <w:proofErr w:type="spellStart"/>
            <w:r w:rsidRPr="00626941">
              <w:rPr>
                <w:rFonts w:cs="Arial"/>
                <w:b/>
                <w:sz w:val="16"/>
                <w:szCs w:val="16"/>
                <w:lang w:val="de-CH"/>
              </w:rPr>
              <w:t>port</w:t>
            </w:r>
            <w:proofErr w:type="spellEnd"/>
          </w:p>
        </w:tc>
        <w:tc>
          <w:tcPr>
            <w:tcW w:w="1436"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Transport zum Behandlungsort</w:t>
            </w:r>
          </w:p>
        </w:tc>
        <w:tc>
          <w:tcPr>
            <w:tcW w:w="2169"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Container sind auf direktestem Weg zum Autoklaven zu bringen und das Ma</w:t>
            </w:r>
            <w:r w:rsidRPr="00626941">
              <w:rPr>
                <w:rFonts w:cs="Arial"/>
                <w:sz w:val="16"/>
                <w:szCs w:val="16"/>
                <w:lang w:val="de-CH"/>
              </w:rPr>
              <w:softHyphen/>
              <w:t xml:space="preserve">terial ist </w:t>
            </w:r>
            <w:r w:rsidRPr="00626941">
              <w:rPr>
                <w:rFonts w:cs="Arial"/>
                <w:b/>
                <w:sz w:val="16"/>
                <w:szCs w:val="16"/>
                <w:lang w:val="de-CH"/>
              </w:rPr>
              <w:t>unverzüglich</w:t>
            </w:r>
            <w:r w:rsidRPr="00626941">
              <w:rPr>
                <w:rFonts w:cs="Arial"/>
                <w:sz w:val="16"/>
                <w:szCs w:val="16"/>
                <w:lang w:val="de-CH"/>
              </w:rPr>
              <w:t xml:space="preserve"> und ohne weitere Zwischen</w:t>
            </w:r>
            <w:r w:rsidRPr="00626941">
              <w:rPr>
                <w:rFonts w:cs="Arial"/>
                <w:sz w:val="16"/>
                <w:szCs w:val="16"/>
                <w:lang w:val="de-CH"/>
              </w:rPr>
              <w:softHyphen/>
              <w:t>lagerung zu inaktivieren.</w:t>
            </w:r>
          </w:p>
        </w:tc>
        <w:tc>
          <w:tcPr>
            <w:tcW w:w="948"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 xml:space="preserve">Wöchentlich </w:t>
            </w:r>
          </w:p>
        </w:tc>
        <w:tc>
          <w:tcPr>
            <w:tcW w:w="216" w:type="pct"/>
          </w:tcPr>
          <w:p w:rsidR="00626941" w:rsidRPr="00626941" w:rsidRDefault="00626941" w:rsidP="006E0165">
            <w:pPr>
              <w:pStyle w:val="Tabelle"/>
              <w:spacing w:line="240" w:lineRule="exact"/>
              <w:rPr>
                <w:rFonts w:cs="Arial"/>
                <w:sz w:val="16"/>
                <w:szCs w:val="16"/>
                <w:lang w:val="de-CH"/>
              </w:rPr>
            </w:pPr>
          </w:p>
        </w:tc>
      </w:tr>
      <w:tr w:rsidR="00626941" w:rsidRPr="00626941" w:rsidTr="00FC4611">
        <w:trPr>
          <w:trHeight w:val="20"/>
        </w:trPr>
        <w:tc>
          <w:tcPr>
            <w:tcW w:w="230" w:type="pct"/>
            <w:vMerge w:val="restart"/>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r w:rsidRPr="00626941">
              <w:rPr>
                <w:rFonts w:cs="Arial"/>
                <w:b/>
                <w:sz w:val="16"/>
                <w:szCs w:val="16"/>
                <w:lang w:val="de-CH"/>
              </w:rPr>
              <w:t>Inaktivie</w:t>
            </w:r>
            <w:r w:rsidRPr="00626941">
              <w:rPr>
                <w:rFonts w:cs="Arial"/>
                <w:b/>
                <w:sz w:val="16"/>
                <w:szCs w:val="16"/>
                <w:lang w:val="de-CH"/>
              </w:rPr>
              <w:softHyphen/>
              <w:t>rung</w:t>
            </w: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Beladung des Autoklaven</w:t>
            </w:r>
          </w:p>
        </w:tc>
        <w:tc>
          <w:tcPr>
            <w:tcW w:w="2169"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Der Autoklav ist durch fach</w:t>
            </w:r>
            <w:r w:rsidRPr="00626941">
              <w:rPr>
                <w:rFonts w:cs="Arial"/>
                <w:sz w:val="16"/>
                <w:szCs w:val="16"/>
                <w:lang w:val="de-CH"/>
              </w:rPr>
              <w:softHyphen/>
              <w:t>kundiges Personal zu beladen und in Betrieb zu setzen.</w:t>
            </w:r>
          </w:p>
        </w:tc>
        <w:tc>
          <w:tcPr>
            <w:tcW w:w="948"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626941" w:rsidRPr="00626941" w:rsidTr="00FC4611">
        <w:trPr>
          <w:trHeight w:val="20"/>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Kontrolle der Inakti</w:t>
            </w:r>
            <w:r w:rsidRPr="00626941">
              <w:rPr>
                <w:rFonts w:cs="Arial"/>
                <w:sz w:val="16"/>
                <w:szCs w:val="16"/>
                <w:lang w:val="de-CH"/>
              </w:rPr>
              <w:softHyphen/>
              <w:t>vierung</w:t>
            </w:r>
          </w:p>
        </w:tc>
        <w:tc>
          <w:tcPr>
            <w:tcW w:w="2169"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Autoklavierprotokolle sind zu sammeln und zu archivieren.</w:t>
            </w:r>
          </w:p>
        </w:tc>
        <w:tc>
          <w:tcPr>
            <w:tcW w:w="948"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626941" w:rsidRPr="00626941" w:rsidTr="00FC4611">
        <w:trPr>
          <w:trHeight w:val="20"/>
        </w:trPr>
        <w:tc>
          <w:tcPr>
            <w:tcW w:w="230" w:type="pct"/>
            <w:vMerge/>
            <w:shd w:val="clear" w:color="auto" w:fill="D9D9D9" w:themeFill="background1" w:themeFillShade="D9"/>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p>
        </w:tc>
        <w:tc>
          <w:tcPr>
            <w:tcW w:w="143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Wartung der Anlage</w:t>
            </w:r>
          </w:p>
        </w:tc>
        <w:tc>
          <w:tcPr>
            <w:tcW w:w="2169"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Der Autoklav ist entsprechend dem War</w:t>
            </w:r>
            <w:r w:rsidRPr="00626941">
              <w:rPr>
                <w:rFonts w:cs="Arial"/>
                <w:sz w:val="16"/>
                <w:szCs w:val="16"/>
                <w:lang w:val="de-CH"/>
              </w:rPr>
              <w:softHyphen/>
              <w:t>tungsplan zu warten.</w:t>
            </w:r>
          </w:p>
        </w:tc>
        <w:tc>
          <w:tcPr>
            <w:tcW w:w="948"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mind. 1 mal jährlich</w:t>
            </w:r>
          </w:p>
        </w:tc>
        <w:tc>
          <w:tcPr>
            <w:tcW w:w="216" w:type="pct"/>
            <w:shd w:val="clear" w:color="auto" w:fill="F2F2F2" w:themeFill="background1" w:themeFillShade="F2"/>
          </w:tcPr>
          <w:p w:rsidR="00626941" w:rsidRPr="00626941" w:rsidRDefault="00626941" w:rsidP="006E0165">
            <w:pPr>
              <w:pStyle w:val="Tabelle"/>
              <w:spacing w:line="240" w:lineRule="exact"/>
              <w:rPr>
                <w:rFonts w:cs="Arial"/>
                <w:sz w:val="16"/>
                <w:szCs w:val="16"/>
                <w:lang w:val="de-CH"/>
              </w:rPr>
            </w:pPr>
          </w:p>
        </w:tc>
      </w:tr>
      <w:tr w:rsidR="00626941" w:rsidRPr="00626941" w:rsidTr="00626941">
        <w:trPr>
          <w:trHeight w:val="20"/>
        </w:trPr>
        <w:tc>
          <w:tcPr>
            <w:tcW w:w="230" w:type="pct"/>
            <w:textDirection w:val="btLr"/>
            <w:vAlign w:val="center"/>
          </w:tcPr>
          <w:p w:rsidR="00626941" w:rsidRPr="00626941" w:rsidRDefault="00626941" w:rsidP="006E0165">
            <w:pPr>
              <w:pStyle w:val="Tabelle"/>
              <w:spacing w:before="0" w:after="0" w:line="200" w:lineRule="exact"/>
              <w:ind w:left="0" w:right="0"/>
              <w:jc w:val="center"/>
              <w:rPr>
                <w:rFonts w:cs="Arial"/>
                <w:b/>
                <w:sz w:val="16"/>
                <w:szCs w:val="16"/>
                <w:lang w:val="de-CH"/>
              </w:rPr>
            </w:pPr>
            <w:r w:rsidRPr="00626941">
              <w:rPr>
                <w:rFonts w:cs="Arial"/>
                <w:b/>
                <w:sz w:val="16"/>
                <w:szCs w:val="16"/>
                <w:lang w:val="de-CH"/>
              </w:rPr>
              <w:t>Entsorgung</w:t>
            </w:r>
          </w:p>
        </w:tc>
        <w:tc>
          <w:tcPr>
            <w:tcW w:w="1436"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Entsorgung des autoklavierten Abfalls</w:t>
            </w:r>
          </w:p>
        </w:tc>
        <w:tc>
          <w:tcPr>
            <w:tcW w:w="2169" w:type="pct"/>
          </w:tcPr>
          <w:p w:rsidR="00626941" w:rsidRPr="00626941" w:rsidRDefault="00626941" w:rsidP="006E0165">
            <w:pPr>
              <w:pStyle w:val="Tabelle"/>
              <w:spacing w:line="240" w:lineRule="exact"/>
              <w:rPr>
                <w:rFonts w:cs="Arial"/>
                <w:sz w:val="16"/>
                <w:szCs w:val="16"/>
                <w:lang w:val="de-CH"/>
              </w:rPr>
            </w:pPr>
            <w:r w:rsidRPr="00626941">
              <w:rPr>
                <w:rFonts w:cs="Arial"/>
                <w:sz w:val="16"/>
                <w:szCs w:val="16"/>
                <w:lang w:val="de-CH"/>
              </w:rPr>
              <w:t>Glasabfälle, die unproblema</w:t>
            </w:r>
            <w:r w:rsidRPr="00626941">
              <w:rPr>
                <w:rFonts w:cs="Arial"/>
                <w:sz w:val="16"/>
                <w:szCs w:val="16"/>
                <w:lang w:val="de-CH"/>
              </w:rPr>
              <w:softHyphen/>
              <w:t>tisch und mit dem Siedlungs</w:t>
            </w:r>
            <w:r w:rsidRPr="00626941">
              <w:rPr>
                <w:rFonts w:cs="Arial"/>
                <w:sz w:val="16"/>
                <w:szCs w:val="16"/>
                <w:lang w:val="de-CH"/>
              </w:rPr>
              <w:softHyphen/>
              <w:t>abfall ver</w:t>
            </w:r>
            <w:r w:rsidRPr="00626941">
              <w:rPr>
                <w:rFonts w:cs="Arial"/>
                <w:sz w:val="16"/>
                <w:szCs w:val="16"/>
                <w:lang w:val="de-CH"/>
              </w:rPr>
              <w:softHyphen/>
              <w:t>gleichbar sind (</w:t>
            </w:r>
            <w:proofErr w:type="spellStart"/>
            <w:r w:rsidRPr="00626941">
              <w:rPr>
                <w:rFonts w:cs="Arial"/>
                <w:sz w:val="16"/>
                <w:szCs w:val="16"/>
                <w:lang w:val="de-CH"/>
              </w:rPr>
              <w:t>bsp.</w:t>
            </w:r>
            <w:proofErr w:type="spellEnd"/>
            <w:r w:rsidRPr="00626941">
              <w:rPr>
                <w:rFonts w:cs="Arial"/>
                <w:sz w:val="16"/>
                <w:szCs w:val="16"/>
                <w:lang w:val="de-CH"/>
              </w:rPr>
              <w:t xml:space="preserve"> zerbrochene Kulturröhrchen) werden in geeigne</w:t>
            </w:r>
            <w:r w:rsidRPr="00626941">
              <w:rPr>
                <w:rFonts w:cs="Arial"/>
                <w:sz w:val="16"/>
                <w:szCs w:val="16"/>
                <w:lang w:val="de-CH"/>
              </w:rPr>
              <w:softHyphen/>
              <w:t>ten Verpack</w:t>
            </w:r>
            <w:r w:rsidRPr="00626941">
              <w:rPr>
                <w:rFonts w:cs="Arial"/>
                <w:sz w:val="16"/>
                <w:szCs w:val="16"/>
                <w:lang w:val="de-CH"/>
              </w:rPr>
              <w:softHyphen/>
              <w:t>ungen unter den nötigen Sicherheitsvorkehrungen zur Vermeidung von Schnittverletzungen mit dem Betriebskehricht ent</w:t>
            </w:r>
            <w:r w:rsidRPr="00626941">
              <w:rPr>
                <w:rFonts w:cs="Arial"/>
                <w:sz w:val="16"/>
                <w:szCs w:val="16"/>
                <w:lang w:val="de-CH"/>
              </w:rPr>
              <w:softHyphen/>
              <w:t>sorgt.</w:t>
            </w:r>
          </w:p>
          <w:p w:rsidR="00626941" w:rsidRPr="001C0228" w:rsidRDefault="00626941" w:rsidP="006E0165">
            <w:pPr>
              <w:pStyle w:val="Tabelle"/>
              <w:spacing w:line="240" w:lineRule="exact"/>
              <w:rPr>
                <w:rFonts w:cs="Arial"/>
                <w:spacing w:val="-2"/>
                <w:sz w:val="16"/>
                <w:szCs w:val="16"/>
                <w:lang w:val="de-CH"/>
              </w:rPr>
            </w:pPr>
            <w:r w:rsidRPr="001C0228">
              <w:rPr>
                <w:rFonts w:cs="Arial"/>
                <w:spacing w:val="-2"/>
                <w:sz w:val="16"/>
                <w:szCs w:val="16"/>
                <w:lang w:val="de-CH"/>
              </w:rPr>
              <w:t>Abfälle mit Verletzungsgefahr (</w:t>
            </w:r>
            <w:proofErr w:type="spellStart"/>
            <w:r w:rsidRPr="001C0228">
              <w:rPr>
                <w:rFonts w:cs="Arial"/>
                <w:i/>
                <w:spacing w:val="-2"/>
                <w:sz w:val="16"/>
                <w:szCs w:val="16"/>
                <w:lang w:val="de-CH"/>
              </w:rPr>
              <w:t>sharps</w:t>
            </w:r>
            <w:proofErr w:type="spellEnd"/>
            <w:r w:rsidRPr="001C0228">
              <w:rPr>
                <w:rFonts w:cs="Arial"/>
                <w:spacing w:val="-2"/>
                <w:sz w:val="16"/>
                <w:szCs w:val="16"/>
                <w:lang w:val="de-CH"/>
              </w:rPr>
              <w:t>) werden als Sonderabfälle ent</w:t>
            </w:r>
            <w:r w:rsidRPr="001C0228">
              <w:rPr>
                <w:rFonts w:cs="Arial"/>
                <w:spacing w:val="-2"/>
                <w:sz w:val="16"/>
                <w:szCs w:val="16"/>
                <w:lang w:val="de-CH"/>
              </w:rPr>
              <w:softHyphen/>
              <w:t>sorgt (siehe Kap. 2.1).</w:t>
            </w:r>
          </w:p>
          <w:p w:rsidR="00626941" w:rsidRPr="00626941" w:rsidRDefault="00626941" w:rsidP="006E0165">
            <w:pPr>
              <w:pStyle w:val="Tabelle"/>
              <w:spacing w:line="240" w:lineRule="exact"/>
              <w:rPr>
                <w:rFonts w:cs="Arial"/>
                <w:color w:val="000000"/>
                <w:sz w:val="16"/>
                <w:szCs w:val="16"/>
                <w:lang w:val="de-CH"/>
              </w:rPr>
            </w:pPr>
            <w:r w:rsidRPr="00626941">
              <w:rPr>
                <w:rFonts w:cs="Arial"/>
                <w:sz w:val="16"/>
                <w:szCs w:val="16"/>
                <w:lang w:val="de-CH"/>
              </w:rPr>
              <w:t>Abfälle ohne Verletzungsgefahr sind mit dem normalem Betriebskeh</w:t>
            </w:r>
            <w:r w:rsidRPr="00626941">
              <w:rPr>
                <w:rFonts w:cs="Arial"/>
                <w:sz w:val="16"/>
                <w:szCs w:val="16"/>
                <w:lang w:val="de-CH"/>
              </w:rPr>
              <w:softHyphen/>
              <w:t>richt zu entsorgen.</w:t>
            </w:r>
          </w:p>
          <w:p w:rsidR="00626941" w:rsidRPr="00626941" w:rsidRDefault="00626941" w:rsidP="006E0165">
            <w:pPr>
              <w:pStyle w:val="Tabelle"/>
              <w:spacing w:line="240" w:lineRule="exact"/>
              <w:rPr>
                <w:rFonts w:cs="Arial"/>
                <w:b/>
                <w:sz w:val="16"/>
                <w:szCs w:val="16"/>
                <w:lang w:val="de-CH"/>
              </w:rPr>
            </w:pPr>
            <w:r w:rsidRPr="00626941">
              <w:rPr>
                <w:rFonts w:cs="Arial"/>
                <w:sz w:val="16"/>
                <w:szCs w:val="16"/>
                <w:lang w:val="de-CH"/>
              </w:rPr>
              <w:t>Inaktivierte Abfälle werden erst dann mit dem Betriebskehricht ent</w:t>
            </w:r>
            <w:r w:rsidRPr="00626941">
              <w:rPr>
                <w:rFonts w:cs="Arial"/>
                <w:sz w:val="16"/>
                <w:szCs w:val="16"/>
                <w:lang w:val="de-CH"/>
              </w:rPr>
              <w:softHyphen/>
              <w:t xml:space="preserve">sorgt, wenn das </w:t>
            </w:r>
            <w:r w:rsidRPr="00626941">
              <w:rPr>
                <w:rFonts w:cs="Arial"/>
                <w:b/>
                <w:sz w:val="16"/>
                <w:szCs w:val="16"/>
                <w:lang w:val="de-CH"/>
              </w:rPr>
              <w:t>Warnzeichen „Biogefährdung“ nicht mehr sicht</w:t>
            </w:r>
            <w:r w:rsidRPr="00626941">
              <w:rPr>
                <w:rFonts w:cs="Arial"/>
                <w:b/>
                <w:sz w:val="16"/>
                <w:szCs w:val="16"/>
                <w:lang w:val="de-CH"/>
              </w:rPr>
              <w:softHyphen/>
              <w:t>bar</w:t>
            </w:r>
            <w:r w:rsidRPr="00626941">
              <w:rPr>
                <w:rFonts w:cs="Arial"/>
                <w:sz w:val="16"/>
                <w:szCs w:val="16"/>
                <w:lang w:val="de-CH"/>
              </w:rPr>
              <w:t xml:space="preserve"> ist. Zu diesem Zweck wird es durch eine zweite Umhüllung ver</w:t>
            </w:r>
            <w:r w:rsidRPr="00626941">
              <w:rPr>
                <w:rFonts w:cs="Arial"/>
                <w:sz w:val="16"/>
                <w:szCs w:val="16"/>
                <w:lang w:val="de-CH"/>
              </w:rPr>
              <w:softHyphen/>
              <w:t>deckt.</w:t>
            </w:r>
            <w:r w:rsidRPr="00626941">
              <w:rPr>
                <w:rFonts w:cs="Arial"/>
                <w:b/>
                <w:sz w:val="16"/>
                <w:szCs w:val="16"/>
                <w:lang w:val="de-CH"/>
              </w:rPr>
              <w:t xml:space="preserve"> </w:t>
            </w:r>
          </w:p>
        </w:tc>
        <w:tc>
          <w:tcPr>
            <w:tcW w:w="948" w:type="pct"/>
          </w:tcPr>
          <w:p w:rsidR="00626941" w:rsidRPr="00626941" w:rsidRDefault="00626941" w:rsidP="006E0165">
            <w:pPr>
              <w:pStyle w:val="Tabelle"/>
              <w:spacing w:line="240" w:lineRule="exact"/>
              <w:rPr>
                <w:rFonts w:cs="Arial"/>
                <w:sz w:val="16"/>
                <w:szCs w:val="16"/>
                <w:lang w:val="de-CH"/>
              </w:rPr>
            </w:pPr>
          </w:p>
        </w:tc>
        <w:tc>
          <w:tcPr>
            <w:tcW w:w="216" w:type="pct"/>
          </w:tcPr>
          <w:p w:rsidR="00626941" w:rsidRPr="00626941" w:rsidRDefault="00626941" w:rsidP="006E0165">
            <w:pPr>
              <w:pStyle w:val="Tabelle"/>
              <w:spacing w:line="240" w:lineRule="exact"/>
              <w:rPr>
                <w:rFonts w:cs="Arial"/>
                <w:sz w:val="16"/>
                <w:szCs w:val="16"/>
                <w:lang w:val="de-CH"/>
              </w:rPr>
            </w:pPr>
          </w:p>
        </w:tc>
      </w:tr>
    </w:tbl>
    <w:p w:rsidR="00423618" w:rsidRDefault="00423618">
      <w:pPr>
        <w:rPr>
          <w:rFonts w:ascii="Arial" w:hAnsi="Arial" w:cs="Arial"/>
          <w:noProof/>
          <w:sz w:val="20"/>
          <w:szCs w:val="20"/>
          <w:lang w:eastAsia="de-CH"/>
        </w:rPr>
      </w:pPr>
      <w:r>
        <w:br w:type="page"/>
      </w:r>
    </w:p>
    <w:p w:rsidR="00C76B89" w:rsidRDefault="00C76B89" w:rsidP="00C76B89">
      <w:pPr>
        <w:pStyle w:val="03BAFUUntertitel"/>
        <w:ind w:left="392" w:hanging="392"/>
        <w:rPr>
          <w:noProof/>
          <w:lang w:eastAsia="de-CH"/>
        </w:rPr>
      </w:pPr>
      <w:r>
        <w:rPr>
          <w:noProof/>
          <w:lang w:eastAsia="de-CH"/>
        </w:rPr>
        <w:lastRenderedPageBreak/>
        <w:t>2.3</w:t>
      </w:r>
      <w:r>
        <w:rPr>
          <w:noProof/>
          <w:lang w:eastAsia="de-CH"/>
        </w:rPr>
        <w:tab/>
      </w:r>
      <w:r w:rsidRPr="00C76B89">
        <w:rPr>
          <w:noProof/>
          <w:lang w:eastAsia="de-CH"/>
        </w:rPr>
        <w:t>Entsorgungsplan für flüssige Abfälle</w:t>
      </w:r>
    </w:p>
    <w:p w:rsidR="00C76B89" w:rsidRDefault="00C76B89" w:rsidP="00C76B89">
      <w:pPr>
        <w:pStyle w:val="03BAFUUntertitel"/>
        <w:ind w:left="392" w:hanging="392"/>
        <w:rPr>
          <w:noProof/>
          <w:lang w:eastAsia="de-CH"/>
        </w:rPr>
      </w:pP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000" w:firstRow="0" w:lastRow="0" w:firstColumn="0" w:lastColumn="0" w:noHBand="0" w:noVBand="0"/>
      </w:tblPr>
      <w:tblGrid>
        <w:gridCol w:w="903"/>
        <w:gridCol w:w="3771"/>
        <w:gridCol w:w="7395"/>
        <w:gridCol w:w="2239"/>
        <w:gridCol w:w="884"/>
      </w:tblGrid>
      <w:tr w:rsidR="00C76B89" w:rsidRPr="00FD582F" w:rsidTr="00C76B89">
        <w:trPr>
          <w:trHeight w:val="20"/>
        </w:trPr>
        <w:tc>
          <w:tcPr>
            <w:tcW w:w="297" w:type="pct"/>
            <w:tcBorders>
              <w:top w:val="single" w:sz="4" w:space="0" w:color="000000" w:themeColor="text1"/>
              <w:left w:val="nil"/>
              <w:bottom w:val="nil"/>
              <w:right w:val="nil"/>
            </w:tcBorders>
            <w:vAlign w:val="center"/>
          </w:tcPr>
          <w:p w:rsidR="00C76B89" w:rsidRPr="00D87649" w:rsidRDefault="00C76B89" w:rsidP="006E0165">
            <w:pPr>
              <w:spacing w:before="20" w:after="20" w:line="240" w:lineRule="exact"/>
              <w:ind w:left="57" w:right="57"/>
              <w:jc w:val="center"/>
              <w:rPr>
                <w:rFonts w:ascii="Arial" w:hAnsi="Arial"/>
                <w:b/>
                <w:sz w:val="18"/>
              </w:rPr>
            </w:pPr>
          </w:p>
        </w:tc>
        <w:tc>
          <w:tcPr>
            <w:tcW w:w="1241" w:type="pct"/>
            <w:tcBorders>
              <w:top w:val="single" w:sz="4" w:space="0" w:color="000000" w:themeColor="text1"/>
              <w:left w:val="nil"/>
              <w:bottom w:val="nil"/>
              <w:right w:val="nil"/>
            </w:tcBorders>
          </w:tcPr>
          <w:p w:rsidR="00C76B89" w:rsidRPr="00D87649" w:rsidRDefault="00C76B89" w:rsidP="006E0165">
            <w:pPr>
              <w:spacing w:before="20" w:after="20" w:line="240" w:lineRule="exact"/>
              <w:ind w:left="57" w:right="57"/>
              <w:rPr>
                <w:rFonts w:ascii="Arial" w:hAnsi="Arial"/>
                <w:b/>
                <w:sz w:val="18"/>
              </w:rPr>
            </w:pPr>
            <w:r w:rsidRPr="00D87649">
              <w:rPr>
                <w:rFonts w:ascii="Arial" w:hAnsi="Arial"/>
                <w:b/>
                <w:sz w:val="18"/>
              </w:rPr>
              <w:t>Flüssige Abfälle (Kulturüberstände)</w:t>
            </w:r>
          </w:p>
        </w:tc>
        <w:tc>
          <w:tcPr>
            <w:tcW w:w="2434" w:type="pct"/>
            <w:tcBorders>
              <w:top w:val="single" w:sz="4" w:space="0" w:color="000000" w:themeColor="text1"/>
              <w:left w:val="nil"/>
              <w:bottom w:val="nil"/>
              <w:right w:val="nil"/>
            </w:tcBorders>
          </w:tcPr>
          <w:p w:rsidR="00C76B89" w:rsidRPr="00D87649" w:rsidRDefault="00C76B89" w:rsidP="006E0165">
            <w:pPr>
              <w:spacing w:before="20" w:after="20" w:line="240" w:lineRule="exact"/>
              <w:ind w:left="57" w:right="57"/>
              <w:rPr>
                <w:rFonts w:ascii="Arial" w:hAnsi="Arial"/>
                <w:b/>
                <w:sz w:val="18"/>
              </w:rPr>
            </w:pPr>
            <w:r w:rsidRPr="00D87649">
              <w:rPr>
                <w:rFonts w:ascii="Arial" w:hAnsi="Arial"/>
                <w:b/>
                <w:sz w:val="18"/>
              </w:rPr>
              <w:t xml:space="preserve">Wie </w:t>
            </w:r>
          </w:p>
        </w:tc>
        <w:tc>
          <w:tcPr>
            <w:tcW w:w="737" w:type="pct"/>
            <w:tcBorders>
              <w:top w:val="single" w:sz="4" w:space="0" w:color="000000" w:themeColor="text1"/>
              <w:left w:val="nil"/>
              <w:bottom w:val="nil"/>
              <w:right w:val="nil"/>
            </w:tcBorders>
          </w:tcPr>
          <w:p w:rsidR="00C76B89" w:rsidRPr="00D87649" w:rsidRDefault="00C76B89" w:rsidP="006E0165">
            <w:pPr>
              <w:spacing w:before="20" w:after="20" w:line="240" w:lineRule="exact"/>
              <w:ind w:left="57" w:right="57"/>
              <w:rPr>
                <w:rFonts w:ascii="Arial" w:hAnsi="Arial"/>
                <w:b/>
                <w:sz w:val="18"/>
              </w:rPr>
            </w:pPr>
            <w:r w:rsidRPr="00D87649">
              <w:rPr>
                <w:rFonts w:ascii="Arial" w:hAnsi="Arial"/>
                <w:b/>
                <w:sz w:val="18"/>
              </w:rPr>
              <w:t>Wann / Periodizität</w:t>
            </w:r>
          </w:p>
        </w:tc>
        <w:tc>
          <w:tcPr>
            <w:tcW w:w="291" w:type="pct"/>
            <w:tcBorders>
              <w:top w:val="single" w:sz="4" w:space="0" w:color="000000" w:themeColor="text1"/>
              <w:left w:val="nil"/>
              <w:bottom w:val="nil"/>
              <w:right w:val="nil"/>
            </w:tcBorders>
          </w:tcPr>
          <w:p w:rsidR="00C76B89" w:rsidRPr="00D87649" w:rsidRDefault="00C76B89" w:rsidP="006E0165">
            <w:pPr>
              <w:spacing w:before="20" w:after="20" w:line="240" w:lineRule="exact"/>
              <w:ind w:left="57" w:right="57"/>
              <w:rPr>
                <w:rFonts w:ascii="Arial" w:hAnsi="Arial"/>
                <w:b/>
                <w:sz w:val="18"/>
              </w:rPr>
            </w:pPr>
            <w:r w:rsidRPr="00D87649">
              <w:rPr>
                <w:rFonts w:ascii="Arial" w:hAnsi="Arial"/>
                <w:b/>
                <w:sz w:val="18"/>
              </w:rPr>
              <w:t>Wer</w:t>
            </w:r>
          </w:p>
        </w:tc>
      </w:tr>
      <w:tr w:rsidR="00C76B89" w:rsidRPr="00FD582F" w:rsidTr="00C76B89">
        <w:trPr>
          <w:trHeight w:val="20"/>
        </w:trPr>
        <w:tc>
          <w:tcPr>
            <w:tcW w:w="297" w:type="pct"/>
            <w:vMerge w:val="restart"/>
            <w:tcBorders>
              <w:top w:val="nil"/>
            </w:tcBorders>
            <w:shd w:val="clear" w:color="auto" w:fill="D9D9D9" w:themeFill="background1" w:themeFillShade="D9"/>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Beschrei</w:t>
            </w:r>
            <w:r w:rsidRPr="00D87649">
              <w:rPr>
                <w:b/>
                <w:lang w:val="de-CH"/>
              </w:rPr>
              <w:softHyphen/>
              <w:t>bung / Sammlung</w:t>
            </w:r>
          </w:p>
        </w:tc>
        <w:tc>
          <w:tcPr>
            <w:tcW w:w="1241" w:type="pct"/>
            <w:tcBorders>
              <w:top w:val="nil"/>
            </w:tcBorders>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Grundsätze der Ab</w:t>
            </w:r>
            <w:r w:rsidRPr="00D87649">
              <w:rPr>
                <w:lang w:val="de-CH"/>
              </w:rPr>
              <w:softHyphen/>
              <w:t>falltrennung</w:t>
            </w:r>
          </w:p>
        </w:tc>
        <w:tc>
          <w:tcPr>
            <w:tcW w:w="2434" w:type="pct"/>
            <w:tcBorders>
              <w:top w:val="nil"/>
            </w:tcBorders>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Zellkulturmedien und Perfusionslösungen sind gesondert zu sammeln.</w:t>
            </w:r>
          </w:p>
        </w:tc>
        <w:tc>
          <w:tcPr>
            <w:tcW w:w="737" w:type="pct"/>
            <w:tcBorders>
              <w:top w:val="nil"/>
            </w:tcBorders>
            <w:shd w:val="clear" w:color="auto" w:fill="F2F2F2" w:themeFill="background1" w:themeFillShade="F2"/>
          </w:tcPr>
          <w:p w:rsidR="00C76B89" w:rsidRPr="00D87649" w:rsidRDefault="00C76B89" w:rsidP="006E0165">
            <w:pPr>
              <w:pStyle w:val="Tabelle"/>
              <w:spacing w:line="240" w:lineRule="exact"/>
              <w:rPr>
                <w:lang w:val="de-CH"/>
              </w:rPr>
            </w:pPr>
          </w:p>
        </w:tc>
        <w:tc>
          <w:tcPr>
            <w:tcW w:w="291" w:type="pct"/>
            <w:tcBorders>
              <w:top w:val="nil"/>
            </w:tcBorders>
            <w:shd w:val="clear" w:color="auto" w:fill="F2F2F2" w:themeFill="background1" w:themeFillShade="F2"/>
          </w:tcPr>
          <w:p w:rsidR="00C76B89" w:rsidRPr="00D87649" w:rsidRDefault="00C76B89" w:rsidP="006E0165">
            <w:pPr>
              <w:pStyle w:val="Tabelle"/>
              <w:spacing w:line="240" w:lineRule="exact"/>
              <w:rPr>
                <w:lang w:val="de-CH"/>
              </w:rPr>
            </w:pPr>
          </w:p>
        </w:tc>
      </w:tr>
      <w:tr w:rsidR="00C76B89" w:rsidRPr="00FD582F" w:rsidTr="00C76B89">
        <w:trPr>
          <w:trHeight w:val="20"/>
        </w:trPr>
        <w:tc>
          <w:tcPr>
            <w:tcW w:w="297" w:type="pct"/>
            <w:vMerge/>
            <w:shd w:val="clear" w:color="auto" w:fill="D9D9D9" w:themeFill="background1" w:themeFillShade="D9"/>
            <w:textDirection w:val="btLr"/>
            <w:vAlign w:val="center"/>
          </w:tcPr>
          <w:p w:rsidR="00C76B89" w:rsidRPr="00D87649" w:rsidRDefault="00C76B89" w:rsidP="006E0165">
            <w:pPr>
              <w:pStyle w:val="Tabelle"/>
              <w:spacing w:before="0" w:after="0" w:line="200" w:lineRule="exact"/>
              <w:ind w:left="0" w:right="0"/>
              <w:jc w:val="center"/>
              <w:rPr>
                <w:b/>
                <w:lang w:val="de-CH"/>
              </w:rPr>
            </w:pPr>
          </w:p>
        </w:tc>
        <w:tc>
          <w:tcPr>
            <w:tcW w:w="1241"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 xml:space="preserve">Typ Behälter </w:t>
            </w:r>
          </w:p>
        </w:tc>
        <w:tc>
          <w:tcPr>
            <w:tcW w:w="2434"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Für Kulturmedien sind Absaugflaschen (z.B. 2 Liter) zu benutzen, Perfusions</w:t>
            </w:r>
            <w:r w:rsidRPr="00D87649">
              <w:rPr>
                <w:lang w:val="de-CH"/>
              </w:rPr>
              <w:softHyphen/>
              <w:t>lösungen sind in Plastikkanistern (z.B. 10 Liter) zu sammeln. Medienüberstände nach dem Zentrifugieren werden (z.B. in 1 Liter-Flaschen) gesammelt.</w:t>
            </w:r>
          </w:p>
        </w:tc>
        <w:tc>
          <w:tcPr>
            <w:tcW w:w="737" w:type="pct"/>
            <w:shd w:val="clear" w:color="auto" w:fill="F2F2F2" w:themeFill="background1" w:themeFillShade="F2"/>
          </w:tcPr>
          <w:p w:rsidR="00C76B89" w:rsidRPr="00D87649" w:rsidRDefault="00C76B89" w:rsidP="006E0165">
            <w:pPr>
              <w:pStyle w:val="Tabelle"/>
              <w:spacing w:line="240" w:lineRule="exact"/>
              <w:rPr>
                <w:lang w:val="de-CH"/>
              </w:rPr>
            </w:pPr>
          </w:p>
        </w:tc>
        <w:tc>
          <w:tcPr>
            <w:tcW w:w="291" w:type="pct"/>
            <w:shd w:val="clear" w:color="auto" w:fill="F2F2F2" w:themeFill="background1" w:themeFillShade="F2"/>
          </w:tcPr>
          <w:p w:rsidR="00C76B89" w:rsidRPr="00D87649" w:rsidRDefault="00C76B89" w:rsidP="006E0165">
            <w:pPr>
              <w:pStyle w:val="Tabelle"/>
              <w:spacing w:line="240" w:lineRule="exact"/>
              <w:rPr>
                <w:lang w:val="de-CH"/>
              </w:rPr>
            </w:pPr>
          </w:p>
        </w:tc>
      </w:tr>
      <w:tr w:rsidR="00C76B89" w:rsidRPr="00FD582F" w:rsidTr="00C76B89">
        <w:trPr>
          <w:trHeight w:val="946"/>
        </w:trPr>
        <w:tc>
          <w:tcPr>
            <w:tcW w:w="297" w:type="pct"/>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Kennzeich</w:t>
            </w:r>
            <w:r w:rsidRPr="00D87649">
              <w:rPr>
                <w:b/>
                <w:lang w:val="de-CH"/>
              </w:rPr>
              <w:softHyphen/>
              <w:t>nung</w:t>
            </w:r>
          </w:p>
        </w:tc>
        <w:tc>
          <w:tcPr>
            <w:tcW w:w="1241" w:type="pct"/>
          </w:tcPr>
          <w:p w:rsidR="00C76B89" w:rsidRPr="00D87649" w:rsidRDefault="00C76B89" w:rsidP="006E0165">
            <w:pPr>
              <w:pStyle w:val="Tabelle"/>
              <w:spacing w:line="240" w:lineRule="exact"/>
              <w:rPr>
                <w:lang w:val="de-CH"/>
              </w:rPr>
            </w:pPr>
            <w:r w:rsidRPr="00D87649">
              <w:rPr>
                <w:lang w:val="de-CH"/>
              </w:rPr>
              <w:t xml:space="preserve">Kennzeichnung </w:t>
            </w:r>
          </w:p>
        </w:tc>
        <w:tc>
          <w:tcPr>
            <w:tcW w:w="2434" w:type="pct"/>
          </w:tcPr>
          <w:p w:rsidR="00C76B89" w:rsidRPr="00D87649" w:rsidRDefault="00C76B89" w:rsidP="006E0165">
            <w:pPr>
              <w:pStyle w:val="Tabelle"/>
              <w:spacing w:line="240" w:lineRule="exact"/>
              <w:rPr>
                <w:lang w:val="de-CH"/>
              </w:rPr>
            </w:pPr>
            <w:r w:rsidRPr="00D87649">
              <w:rPr>
                <w:lang w:val="de-CH"/>
              </w:rPr>
              <w:t>Flaschen mit Kulturmedien sind vor der Inaktivierung mit einem temperatur-sensitiven Indikator zu versehen.</w:t>
            </w:r>
          </w:p>
        </w:tc>
        <w:tc>
          <w:tcPr>
            <w:tcW w:w="737" w:type="pct"/>
          </w:tcPr>
          <w:p w:rsidR="00C76B89" w:rsidRPr="00D87649" w:rsidRDefault="00C76B89" w:rsidP="006E0165">
            <w:pPr>
              <w:pStyle w:val="Tabelle"/>
              <w:spacing w:line="240" w:lineRule="exact"/>
              <w:rPr>
                <w:lang w:val="de-CH"/>
              </w:rPr>
            </w:pPr>
          </w:p>
        </w:tc>
        <w:tc>
          <w:tcPr>
            <w:tcW w:w="291" w:type="pct"/>
          </w:tcPr>
          <w:p w:rsidR="00C76B89" w:rsidRPr="00D87649" w:rsidRDefault="00C76B89" w:rsidP="006E0165">
            <w:pPr>
              <w:pStyle w:val="Tabelle"/>
              <w:spacing w:line="240" w:lineRule="exact"/>
              <w:rPr>
                <w:lang w:val="de-CH"/>
              </w:rPr>
            </w:pPr>
          </w:p>
        </w:tc>
      </w:tr>
      <w:tr w:rsidR="00C76B89" w:rsidRPr="00FD582F" w:rsidTr="00C76B89">
        <w:trPr>
          <w:trHeight w:val="689"/>
        </w:trPr>
        <w:tc>
          <w:tcPr>
            <w:tcW w:w="297" w:type="pct"/>
            <w:shd w:val="clear" w:color="auto" w:fill="D9D9D9" w:themeFill="background1" w:themeFillShade="D9"/>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Lage</w:t>
            </w:r>
            <w:r w:rsidRPr="00D87649">
              <w:rPr>
                <w:b/>
                <w:lang w:val="de-CH"/>
              </w:rPr>
              <w:softHyphen/>
              <w:t>rung</w:t>
            </w:r>
          </w:p>
        </w:tc>
        <w:tc>
          <w:tcPr>
            <w:tcW w:w="1241"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Zwischenlagerung im Labor</w:t>
            </w:r>
          </w:p>
        </w:tc>
        <w:tc>
          <w:tcPr>
            <w:tcW w:w="2434"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 xml:space="preserve">Zellkulturmedien und Perfusionslösungen sind bis zur endgültigen Entsorgung sicher im Labor zwischen zu lagern. </w:t>
            </w:r>
          </w:p>
        </w:tc>
        <w:tc>
          <w:tcPr>
            <w:tcW w:w="737" w:type="pct"/>
            <w:shd w:val="clear" w:color="auto" w:fill="F2F2F2" w:themeFill="background1" w:themeFillShade="F2"/>
          </w:tcPr>
          <w:p w:rsidR="00C76B89" w:rsidRPr="00D87649" w:rsidRDefault="00C76B89" w:rsidP="006E0165">
            <w:pPr>
              <w:pStyle w:val="Tabelle"/>
              <w:spacing w:line="240" w:lineRule="exact"/>
              <w:rPr>
                <w:lang w:val="de-CH"/>
              </w:rPr>
            </w:pPr>
          </w:p>
        </w:tc>
        <w:tc>
          <w:tcPr>
            <w:tcW w:w="291" w:type="pct"/>
            <w:shd w:val="clear" w:color="auto" w:fill="F2F2F2" w:themeFill="background1" w:themeFillShade="F2"/>
          </w:tcPr>
          <w:p w:rsidR="00C76B89" w:rsidRPr="00D87649" w:rsidRDefault="00C76B89" w:rsidP="006E0165">
            <w:pPr>
              <w:pStyle w:val="Tabelle"/>
              <w:spacing w:line="240" w:lineRule="exact"/>
              <w:rPr>
                <w:lang w:val="de-CH"/>
              </w:rPr>
            </w:pPr>
          </w:p>
        </w:tc>
      </w:tr>
      <w:tr w:rsidR="00C76B89" w:rsidRPr="00FD582F" w:rsidTr="00C76B89">
        <w:trPr>
          <w:trHeight w:val="1028"/>
        </w:trPr>
        <w:tc>
          <w:tcPr>
            <w:tcW w:w="297" w:type="pct"/>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Inaktivier</w:t>
            </w:r>
            <w:r w:rsidRPr="00D87649">
              <w:rPr>
                <w:b/>
                <w:lang w:val="de-CH"/>
              </w:rPr>
              <w:softHyphen/>
              <w:t>ung</w:t>
            </w:r>
          </w:p>
        </w:tc>
        <w:tc>
          <w:tcPr>
            <w:tcW w:w="1241" w:type="pct"/>
          </w:tcPr>
          <w:p w:rsidR="00C76B89" w:rsidRPr="00D87649" w:rsidRDefault="00C76B89" w:rsidP="006E0165">
            <w:pPr>
              <w:pStyle w:val="Tabelle"/>
              <w:spacing w:line="240" w:lineRule="exact"/>
              <w:rPr>
                <w:lang w:val="de-CH"/>
              </w:rPr>
            </w:pPr>
            <w:r w:rsidRPr="00D87649">
              <w:rPr>
                <w:lang w:val="de-CH"/>
              </w:rPr>
              <w:t>Chemisches Inaktivieren vor Ort (im Labor)</w:t>
            </w:r>
          </w:p>
        </w:tc>
        <w:tc>
          <w:tcPr>
            <w:tcW w:w="2434" w:type="pct"/>
          </w:tcPr>
          <w:p w:rsidR="00C76B89" w:rsidRPr="00D87649" w:rsidRDefault="00C76B89" w:rsidP="006E0165">
            <w:pPr>
              <w:pStyle w:val="Tabelle"/>
              <w:spacing w:line="240" w:lineRule="exact"/>
              <w:rPr>
                <w:lang w:val="de-CH"/>
              </w:rPr>
            </w:pPr>
            <w:r w:rsidRPr="00D87649">
              <w:rPr>
                <w:lang w:val="de-CH"/>
              </w:rPr>
              <w:t>Zellkulturabfälle sind vor Ort mit einem geeigneten Desinfektions</w:t>
            </w:r>
            <w:r w:rsidRPr="00D87649">
              <w:rPr>
                <w:lang w:val="de-CH"/>
              </w:rPr>
              <w:softHyphen/>
              <w:t>mittel (vorge</w:t>
            </w:r>
            <w:r w:rsidRPr="00D87649">
              <w:rPr>
                <w:lang w:val="de-CH"/>
              </w:rPr>
              <w:softHyphen/>
              <w:t xml:space="preserve">legt in Absaugflasche) zu inaktivieren. </w:t>
            </w:r>
          </w:p>
        </w:tc>
        <w:tc>
          <w:tcPr>
            <w:tcW w:w="737" w:type="pct"/>
          </w:tcPr>
          <w:p w:rsidR="00C76B89" w:rsidRPr="00D87649" w:rsidRDefault="00C76B89" w:rsidP="006E0165">
            <w:pPr>
              <w:pStyle w:val="Tabelle"/>
              <w:spacing w:line="240" w:lineRule="exact"/>
              <w:rPr>
                <w:lang w:val="de-CH"/>
              </w:rPr>
            </w:pPr>
          </w:p>
        </w:tc>
        <w:tc>
          <w:tcPr>
            <w:tcW w:w="291" w:type="pct"/>
          </w:tcPr>
          <w:p w:rsidR="00C76B89" w:rsidRPr="00D87649" w:rsidRDefault="00C76B89" w:rsidP="006E0165">
            <w:pPr>
              <w:pStyle w:val="Tabelle"/>
              <w:spacing w:line="240" w:lineRule="exact"/>
              <w:rPr>
                <w:lang w:val="de-CH"/>
              </w:rPr>
            </w:pPr>
          </w:p>
        </w:tc>
      </w:tr>
      <w:tr w:rsidR="00C76B89" w:rsidRPr="00FD582F" w:rsidTr="00C76B89">
        <w:trPr>
          <w:trHeight w:val="683"/>
        </w:trPr>
        <w:tc>
          <w:tcPr>
            <w:tcW w:w="297" w:type="pct"/>
            <w:shd w:val="clear" w:color="auto" w:fill="D9D9D9" w:themeFill="background1" w:themeFillShade="D9"/>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Trans</w:t>
            </w:r>
            <w:r w:rsidRPr="00D87649">
              <w:rPr>
                <w:b/>
                <w:lang w:val="de-CH"/>
              </w:rPr>
              <w:softHyphen/>
              <w:t>port</w:t>
            </w:r>
          </w:p>
        </w:tc>
        <w:tc>
          <w:tcPr>
            <w:tcW w:w="1241"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Transport zum Behandlungsort</w:t>
            </w:r>
          </w:p>
        </w:tc>
        <w:tc>
          <w:tcPr>
            <w:tcW w:w="2434"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Die Abfälle sind auf direktestem Weg zum Autoklaven zu bringen und das Ma</w:t>
            </w:r>
            <w:r w:rsidRPr="00D87649">
              <w:rPr>
                <w:lang w:val="de-CH"/>
              </w:rPr>
              <w:softHyphen/>
              <w:t xml:space="preserve">terial ist </w:t>
            </w:r>
            <w:r w:rsidRPr="00D87649">
              <w:rPr>
                <w:b/>
                <w:lang w:val="de-CH"/>
              </w:rPr>
              <w:t>unverzüglich</w:t>
            </w:r>
            <w:r w:rsidRPr="00D87649">
              <w:rPr>
                <w:lang w:val="de-CH"/>
              </w:rPr>
              <w:t xml:space="preserve"> und ohne weitere Zwischen</w:t>
            </w:r>
            <w:r w:rsidRPr="00D87649">
              <w:rPr>
                <w:lang w:val="de-CH"/>
              </w:rPr>
              <w:softHyphen/>
              <w:t>lagerung zu inakti</w:t>
            </w:r>
            <w:r w:rsidRPr="00D87649">
              <w:rPr>
                <w:lang w:val="de-CH"/>
              </w:rPr>
              <w:softHyphen/>
              <w:t>vieren.</w:t>
            </w:r>
          </w:p>
        </w:tc>
        <w:tc>
          <w:tcPr>
            <w:tcW w:w="737" w:type="pct"/>
            <w:shd w:val="clear" w:color="auto" w:fill="F2F2F2" w:themeFill="background1" w:themeFillShade="F2"/>
          </w:tcPr>
          <w:p w:rsidR="00C76B89" w:rsidRPr="00D87649" w:rsidRDefault="00C76B89" w:rsidP="006E0165">
            <w:pPr>
              <w:pStyle w:val="Tabelle"/>
              <w:spacing w:line="240" w:lineRule="exact"/>
              <w:rPr>
                <w:lang w:val="de-CH"/>
              </w:rPr>
            </w:pPr>
          </w:p>
        </w:tc>
        <w:tc>
          <w:tcPr>
            <w:tcW w:w="291" w:type="pct"/>
            <w:shd w:val="clear" w:color="auto" w:fill="F2F2F2" w:themeFill="background1" w:themeFillShade="F2"/>
          </w:tcPr>
          <w:p w:rsidR="00C76B89" w:rsidRPr="00D87649" w:rsidRDefault="00C76B89" w:rsidP="006E0165">
            <w:pPr>
              <w:pStyle w:val="Tabelle"/>
              <w:spacing w:line="240" w:lineRule="exact"/>
              <w:rPr>
                <w:lang w:val="de-CH"/>
              </w:rPr>
            </w:pPr>
          </w:p>
        </w:tc>
      </w:tr>
      <w:tr w:rsidR="00C76B89" w:rsidRPr="00FD582F" w:rsidTr="00C76B89">
        <w:trPr>
          <w:trHeight w:val="20"/>
        </w:trPr>
        <w:tc>
          <w:tcPr>
            <w:tcW w:w="297" w:type="pct"/>
            <w:vMerge w:val="restart"/>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Inaktivie</w:t>
            </w:r>
            <w:r w:rsidRPr="00D87649">
              <w:rPr>
                <w:b/>
                <w:lang w:val="de-CH"/>
              </w:rPr>
              <w:softHyphen/>
              <w:t>rung</w:t>
            </w:r>
          </w:p>
        </w:tc>
        <w:tc>
          <w:tcPr>
            <w:tcW w:w="1241" w:type="pct"/>
          </w:tcPr>
          <w:p w:rsidR="00C76B89" w:rsidRPr="00D87649" w:rsidRDefault="00C76B89" w:rsidP="006E0165">
            <w:pPr>
              <w:pStyle w:val="Tabelle"/>
              <w:spacing w:line="240" w:lineRule="exact"/>
              <w:rPr>
                <w:lang w:val="de-CH"/>
              </w:rPr>
            </w:pPr>
            <w:r w:rsidRPr="00D87649">
              <w:rPr>
                <w:lang w:val="de-CH"/>
              </w:rPr>
              <w:t>Beladung des Autoklaven</w:t>
            </w:r>
          </w:p>
        </w:tc>
        <w:tc>
          <w:tcPr>
            <w:tcW w:w="2434" w:type="pct"/>
          </w:tcPr>
          <w:p w:rsidR="00C76B89" w:rsidRPr="00D87649" w:rsidRDefault="00C76B89" w:rsidP="006E0165">
            <w:pPr>
              <w:pStyle w:val="Tabelle"/>
              <w:spacing w:line="240" w:lineRule="exact"/>
              <w:rPr>
                <w:lang w:val="de-CH"/>
              </w:rPr>
            </w:pPr>
            <w:r w:rsidRPr="00D87649">
              <w:rPr>
                <w:lang w:val="de-CH"/>
              </w:rPr>
              <w:t>Der Autoklav ist durch fachkundiges Personal zu beladen und in Betrieb zu set</w:t>
            </w:r>
            <w:r w:rsidRPr="00D87649">
              <w:rPr>
                <w:lang w:val="de-CH"/>
              </w:rPr>
              <w:softHyphen/>
              <w:t>zen (Spezialpro</w:t>
            </w:r>
            <w:r w:rsidRPr="00D87649">
              <w:rPr>
                <w:lang w:val="de-CH"/>
              </w:rPr>
              <w:softHyphen/>
              <w:t>gramm für Flüssigkeiten wählen).</w:t>
            </w:r>
          </w:p>
        </w:tc>
        <w:tc>
          <w:tcPr>
            <w:tcW w:w="737" w:type="pct"/>
          </w:tcPr>
          <w:p w:rsidR="00C76B89" w:rsidRPr="00D87649" w:rsidRDefault="00C76B89" w:rsidP="006E0165">
            <w:pPr>
              <w:pStyle w:val="Tabelle"/>
              <w:spacing w:line="240" w:lineRule="exact"/>
              <w:rPr>
                <w:lang w:val="de-CH"/>
              </w:rPr>
            </w:pPr>
          </w:p>
        </w:tc>
        <w:tc>
          <w:tcPr>
            <w:tcW w:w="291" w:type="pct"/>
          </w:tcPr>
          <w:p w:rsidR="00C76B89" w:rsidRPr="00D87649" w:rsidRDefault="00C76B89" w:rsidP="006E0165">
            <w:pPr>
              <w:pStyle w:val="Tabelle"/>
              <w:spacing w:line="240" w:lineRule="exact"/>
              <w:rPr>
                <w:lang w:val="de-CH"/>
              </w:rPr>
            </w:pPr>
          </w:p>
        </w:tc>
      </w:tr>
      <w:tr w:rsidR="00C76B89" w:rsidRPr="00FD582F" w:rsidTr="00C76B89">
        <w:trPr>
          <w:trHeight w:val="20"/>
        </w:trPr>
        <w:tc>
          <w:tcPr>
            <w:tcW w:w="297" w:type="pct"/>
            <w:vMerge/>
            <w:textDirection w:val="btLr"/>
            <w:vAlign w:val="center"/>
          </w:tcPr>
          <w:p w:rsidR="00C76B89" w:rsidRPr="00D87649" w:rsidRDefault="00C76B89" w:rsidP="006E0165">
            <w:pPr>
              <w:pStyle w:val="Tabelle"/>
              <w:spacing w:before="0" w:after="0" w:line="200" w:lineRule="exact"/>
              <w:ind w:left="0" w:right="0"/>
              <w:jc w:val="center"/>
              <w:rPr>
                <w:b/>
                <w:lang w:val="de-CH"/>
              </w:rPr>
            </w:pPr>
          </w:p>
        </w:tc>
        <w:tc>
          <w:tcPr>
            <w:tcW w:w="1241" w:type="pct"/>
          </w:tcPr>
          <w:p w:rsidR="00C76B89" w:rsidRPr="00D87649" w:rsidRDefault="00C76B89" w:rsidP="006E0165">
            <w:pPr>
              <w:pStyle w:val="Tabelle"/>
              <w:spacing w:line="240" w:lineRule="exact"/>
              <w:rPr>
                <w:lang w:val="de-CH"/>
              </w:rPr>
            </w:pPr>
            <w:r w:rsidRPr="00D87649">
              <w:rPr>
                <w:lang w:val="de-CH"/>
              </w:rPr>
              <w:t>Kontrolle der Inaktivierung</w:t>
            </w:r>
          </w:p>
        </w:tc>
        <w:tc>
          <w:tcPr>
            <w:tcW w:w="2434" w:type="pct"/>
          </w:tcPr>
          <w:p w:rsidR="00C76B89" w:rsidRPr="00D87649" w:rsidRDefault="00C76B89" w:rsidP="006E0165">
            <w:pPr>
              <w:pStyle w:val="Tabelle"/>
              <w:spacing w:line="240" w:lineRule="exact"/>
              <w:rPr>
                <w:lang w:val="de-CH"/>
              </w:rPr>
            </w:pPr>
            <w:r w:rsidRPr="00D87649">
              <w:rPr>
                <w:lang w:val="de-CH"/>
              </w:rPr>
              <w:t>Autoklavierprotokolle sind zu sammeln und zu archivieren.</w:t>
            </w:r>
          </w:p>
        </w:tc>
        <w:tc>
          <w:tcPr>
            <w:tcW w:w="737" w:type="pct"/>
          </w:tcPr>
          <w:p w:rsidR="00C76B89" w:rsidRPr="00D87649" w:rsidRDefault="00C76B89" w:rsidP="006E0165">
            <w:pPr>
              <w:pStyle w:val="Tabelle"/>
              <w:spacing w:line="240" w:lineRule="exact"/>
              <w:rPr>
                <w:lang w:val="de-CH"/>
              </w:rPr>
            </w:pPr>
          </w:p>
        </w:tc>
        <w:tc>
          <w:tcPr>
            <w:tcW w:w="291" w:type="pct"/>
          </w:tcPr>
          <w:p w:rsidR="00C76B89" w:rsidRPr="00D87649" w:rsidRDefault="00C76B89" w:rsidP="006E0165">
            <w:pPr>
              <w:pStyle w:val="Tabelle"/>
              <w:spacing w:line="240" w:lineRule="exact"/>
              <w:rPr>
                <w:lang w:val="de-CH"/>
              </w:rPr>
            </w:pPr>
          </w:p>
        </w:tc>
      </w:tr>
      <w:tr w:rsidR="00C76B89" w:rsidRPr="00FD582F" w:rsidTr="00C76B89">
        <w:trPr>
          <w:trHeight w:val="20"/>
        </w:trPr>
        <w:tc>
          <w:tcPr>
            <w:tcW w:w="297" w:type="pct"/>
            <w:vMerge/>
            <w:textDirection w:val="btLr"/>
            <w:vAlign w:val="center"/>
          </w:tcPr>
          <w:p w:rsidR="00C76B89" w:rsidRPr="00D87649" w:rsidRDefault="00C76B89" w:rsidP="006E0165">
            <w:pPr>
              <w:pStyle w:val="Tabelle"/>
              <w:spacing w:before="0" w:after="0" w:line="200" w:lineRule="exact"/>
              <w:ind w:left="0" w:right="0"/>
              <w:jc w:val="center"/>
              <w:rPr>
                <w:b/>
                <w:lang w:val="de-CH"/>
              </w:rPr>
            </w:pPr>
          </w:p>
        </w:tc>
        <w:tc>
          <w:tcPr>
            <w:tcW w:w="1241" w:type="pct"/>
          </w:tcPr>
          <w:p w:rsidR="00C76B89" w:rsidRPr="00D87649" w:rsidRDefault="00C76B89" w:rsidP="006E0165">
            <w:pPr>
              <w:pStyle w:val="Tabelle"/>
              <w:spacing w:line="240" w:lineRule="exact"/>
              <w:rPr>
                <w:lang w:val="de-CH"/>
              </w:rPr>
            </w:pPr>
            <w:r w:rsidRPr="00D87649">
              <w:rPr>
                <w:lang w:val="de-CH"/>
              </w:rPr>
              <w:t xml:space="preserve">Wartung des Autoklaven </w:t>
            </w:r>
          </w:p>
        </w:tc>
        <w:tc>
          <w:tcPr>
            <w:tcW w:w="2434" w:type="pct"/>
          </w:tcPr>
          <w:p w:rsidR="00C76B89" w:rsidRPr="00D87649" w:rsidRDefault="00C76B89" w:rsidP="006E0165">
            <w:pPr>
              <w:pStyle w:val="Tabelle"/>
              <w:spacing w:line="240" w:lineRule="exact"/>
              <w:rPr>
                <w:lang w:val="de-CH"/>
              </w:rPr>
            </w:pPr>
            <w:r w:rsidRPr="00D87649">
              <w:rPr>
                <w:lang w:val="de-CH"/>
              </w:rPr>
              <w:t>Der Autoklav ist entsprechend dem Wartungs</w:t>
            </w:r>
            <w:r w:rsidRPr="00D87649">
              <w:rPr>
                <w:lang w:val="de-CH"/>
              </w:rPr>
              <w:softHyphen/>
              <w:t>plan zu warten.</w:t>
            </w:r>
          </w:p>
        </w:tc>
        <w:tc>
          <w:tcPr>
            <w:tcW w:w="737" w:type="pct"/>
          </w:tcPr>
          <w:p w:rsidR="00C76B89" w:rsidRPr="00D87649" w:rsidRDefault="00C76B89" w:rsidP="006E0165">
            <w:pPr>
              <w:pStyle w:val="Tabelle"/>
              <w:spacing w:line="240" w:lineRule="exact"/>
              <w:rPr>
                <w:lang w:val="de-CH"/>
              </w:rPr>
            </w:pPr>
            <w:r w:rsidRPr="00D87649">
              <w:rPr>
                <w:lang w:val="de-CH"/>
              </w:rPr>
              <w:t>mind. 1 mal jährlich</w:t>
            </w:r>
          </w:p>
        </w:tc>
        <w:tc>
          <w:tcPr>
            <w:tcW w:w="291" w:type="pct"/>
          </w:tcPr>
          <w:p w:rsidR="00C76B89" w:rsidRPr="00D87649" w:rsidRDefault="00C76B89" w:rsidP="006E0165">
            <w:pPr>
              <w:pStyle w:val="Tabelle"/>
              <w:spacing w:line="240" w:lineRule="exact"/>
              <w:rPr>
                <w:lang w:val="de-CH"/>
              </w:rPr>
            </w:pPr>
          </w:p>
        </w:tc>
      </w:tr>
      <w:tr w:rsidR="00C76B89" w:rsidRPr="00FD582F" w:rsidTr="00C76B89">
        <w:trPr>
          <w:trHeight w:val="909"/>
        </w:trPr>
        <w:tc>
          <w:tcPr>
            <w:tcW w:w="297" w:type="pct"/>
            <w:shd w:val="clear" w:color="auto" w:fill="D9D9D9" w:themeFill="background1" w:themeFillShade="D9"/>
            <w:textDirection w:val="btLr"/>
            <w:vAlign w:val="center"/>
          </w:tcPr>
          <w:p w:rsidR="00C76B89" w:rsidRPr="00D87649" w:rsidRDefault="00C76B89" w:rsidP="006E0165">
            <w:pPr>
              <w:pStyle w:val="Tabelle"/>
              <w:spacing w:before="0" w:after="0" w:line="200" w:lineRule="exact"/>
              <w:ind w:left="0" w:right="0"/>
              <w:jc w:val="center"/>
              <w:rPr>
                <w:b/>
                <w:lang w:val="de-CH"/>
              </w:rPr>
            </w:pPr>
            <w:r w:rsidRPr="00D87649">
              <w:rPr>
                <w:b/>
                <w:lang w:val="de-CH"/>
              </w:rPr>
              <w:t>Entsor</w:t>
            </w:r>
            <w:r w:rsidRPr="00D87649">
              <w:rPr>
                <w:b/>
                <w:lang w:val="de-CH"/>
              </w:rPr>
              <w:softHyphen/>
              <w:t>gung</w:t>
            </w:r>
          </w:p>
        </w:tc>
        <w:tc>
          <w:tcPr>
            <w:tcW w:w="1241"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Entsorgung des inaktivierten Abfalls</w:t>
            </w:r>
          </w:p>
        </w:tc>
        <w:tc>
          <w:tcPr>
            <w:tcW w:w="2434"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Inaktivierte flüssige Abfälle sind über das Abwasser des Gebäudes unter Be</w:t>
            </w:r>
            <w:r w:rsidRPr="00D87649">
              <w:rPr>
                <w:lang w:val="de-CH"/>
              </w:rPr>
              <w:softHyphen/>
              <w:t>achtung der Gewässerschutzgesetzgebung zu entsorgen.</w:t>
            </w:r>
          </w:p>
        </w:tc>
        <w:tc>
          <w:tcPr>
            <w:tcW w:w="737" w:type="pct"/>
            <w:shd w:val="clear" w:color="auto" w:fill="F2F2F2" w:themeFill="background1" w:themeFillShade="F2"/>
          </w:tcPr>
          <w:p w:rsidR="00C76B89" w:rsidRPr="00D87649" w:rsidRDefault="00C76B89" w:rsidP="006E0165">
            <w:pPr>
              <w:pStyle w:val="Tabelle"/>
              <w:spacing w:line="240" w:lineRule="exact"/>
              <w:rPr>
                <w:lang w:val="de-CH"/>
              </w:rPr>
            </w:pPr>
            <w:r w:rsidRPr="00D87649">
              <w:rPr>
                <w:lang w:val="de-CH"/>
              </w:rPr>
              <w:t>Wöchentlich</w:t>
            </w:r>
          </w:p>
        </w:tc>
        <w:tc>
          <w:tcPr>
            <w:tcW w:w="291" w:type="pct"/>
            <w:shd w:val="clear" w:color="auto" w:fill="F2F2F2" w:themeFill="background1" w:themeFillShade="F2"/>
          </w:tcPr>
          <w:p w:rsidR="00C76B89" w:rsidRPr="00D87649" w:rsidRDefault="00C76B89" w:rsidP="006E0165">
            <w:pPr>
              <w:pStyle w:val="Tabelle"/>
              <w:spacing w:line="240" w:lineRule="exact"/>
              <w:rPr>
                <w:lang w:val="de-CH"/>
              </w:rPr>
            </w:pPr>
          </w:p>
        </w:tc>
      </w:tr>
    </w:tbl>
    <w:p w:rsidR="00C76B89" w:rsidRPr="00852AF0" w:rsidRDefault="00C76B89" w:rsidP="00C76B89">
      <w:pPr>
        <w:pStyle w:val="03BAFUUntertitel"/>
        <w:ind w:left="392" w:hanging="392"/>
        <w:rPr>
          <w:rStyle w:val="05BAFUGrundschriftkursiv"/>
        </w:rPr>
      </w:pPr>
      <w:r>
        <w:rPr>
          <w:rStyle w:val="05BAFUGrundschriftkursiv"/>
          <w:b w:val="0"/>
          <w:i w:val="0"/>
        </w:rPr>
        <w:br/>
      </w:r>
    </w:p>
    <w:p w:rsidR="00423618" w:rsidRPr="0088219E" w:rsidRDefault="00423618" w:rsidP="0088219E">
      <w:pPr>
        <w:rPr>
          <w:rFonts w:ascii="Arial" w:hAnsi="Arial" w:cs="Arial"/>
          <w:noProof/>
          <w:sz w:val="20"/>
          <w:szCs w:val="20"/>
          <w:lang w:eastAsia="de-CH"/>
        </w:rPr>
        <w:sectPr w:rsidR="00423618" w:rsidRPr="0088219E" w:rsidSect="001C0228">
          <w:headerReference w:type="default" r:id="rId9"/>
          <w:pgSz w:w="16838" w:h="11906" w:orient="landscape" w:code="9"/>
          <w:pgMar w:top="426" w:right="852" w:bottom="1021" w:left="794" w:header="567" w:footer="0" w:gutter="0"/>
          <w:cols w:space="708"/>
          <w:titlePg/>
          <w:docGrid w:linePitch="360"/>
        </w:sectPr>
      </w:pPr>
    </w:p>
    <w:p w:rsidR="0088219E" w:rsidRDefault="0088219E" w:rsidP="0088219E">
      <w:pPr>
        <w:pStyle w:val="02BAFUTitelnummeriert"/>
      </w:pPr>
      <w:r w:rsidRPr="0088219E">
        <w:lastRenderedPageBreak/>
        <w:t>Entsorgung stark ekelerregender oder geruchsintensiver Abfälle</w:t>
      </w:r>
      <w:r w:rsidR="00F46CCD">
        <w:rPr>
          <w:rStyle w:val="Funotenzeichen"/>
        </w:rPr>
        <w:footnoteReference w:id="3"/>
      </w:r>
      <w:r w:rsidRPr="0088219E">
        <w:t xml:space="preserve"> </w:t>
      </w:r>
    </w:p>
    <w:p w:rsidR="0088219E" w:rsidRDefault="0088219E" w:rsidP="0088219E">
      <w:pPr>
        <w:pStyle w:val="05BAFUGrundschrift"/>
      </w:pPr>
      <w:r w:rsidRPr="0088219E">
        <w:t>Stark geruchsintensive oder ekelerregende Abfälle (Abfälle mi</w:t>
      </w:r>
      <w:r>
        <w:t>t Blut, etc.) werden als Sonder</w:t>
      </w:r>
      <w:r w:rsidRPr="0088219E">
        <w:t>abfall gemäss VeVA entsorgt.</w:t>
      </w:r>
      <w:r w:rsidR="00F46CCD">
        <w:rPr>
          <w:rStyle w:val="Funotenzeichen"/>
        </w:rPr>
        <w:footnoteReference w:id="4"/>
      </w:r>
      <w:r w:rsidRPr="0088219E">
        <w:t xml:space="preserve"> Infektiöse Abfälle werden vorher inaktiviert.</w:t>
      </w:r>
    </w:p>
    <w:p w:rsidR="0088219E" w:rsidRPr="003F215E" w:rsidRDefault="0088219E" w:rsidP="0088219E">
      <w:pPr>
        <w:spacing w:after="60"/>
        <w:rPr>
          <w:rFonts w:ascii="Arial" w:hAnsi="Arial"/>
          <w:b/>
          <w:sz w:val="16"/>
          <w:szCs w:val="16"/>
        </w:rPr>
      </w:pPr>
      <w:r w:rsidRPr="003F215E">
        <w:rPr>
          <w:rFonts w:ascii="Arial" w:hAnsi="Arial"/>
          <w:b/>
          <w:sz w:val="16"/>
          <w:szCs w:val="16"/>
        </w:rPr>
        <w:t xml:space="preserve">Codierung nach </w:t>
      </w:r>
      <w:proofErr w:type="spellStart"/>
      <w:r w:rsidRPr="003F215E">
        <w:rPr>
          <w:rFonts w:ascii="Arial" w:hAnsi="Arial"/>
          <w:b/>
          <w:sz w:val="16"/>
          <w:szCs w:val="16"/>
        </w:rPr>
        <w:t>VeVA</w:t>
      </w:r>
      <w:proofErr w:type="spellEnd"/>
      <w:r w:rsidR="00F46CCD">
        <w:rPr>
          <w:rStyle w:val="Funotenzeichen"/>
          <w:rFonts w:ascii="Arial" w:hAnsi="Arial"/>
          <w:b/>
          <w:sz w:val="16"/>
          <w:szCs w:val="16"/>
        </w:rPr>
        <w:footnoteReference w:id="5"/>
      </w:r>
      <w:r w:rsidR="00BD470D">
        <w:rPr>
          <w:rFonts w:ascii="Arial" w:hAnsi="Arial"/>
          <w:b/>
          <w:sz w:val="16"/>
          <w:szCs w:val="16"/>
        </w:rPr>
        <w:t xml:space="preserve"> als Sonderabfall</w:t>
      </w:r>
    </w:p>
    <w:tbl>
      <w:tblPr>
        <w:tblW w:w="9776" w:type="dxa"/>
        <w:tblInd w:w="-5" w:type="dxa"/>
        <w:tblLayout w:type="fixed"/>
        <w:tblLook w:val="01E0" w:firstRow="1" w:lastRow="1" w:firstColumn="1" w:lastColumn="1" w:noHBand="0" w:noVBand="0"/>
      </w:tblPr>
      <w:tblGrid>
        <w:gridCol w:w="1530"/>
        <w:gridCol w:w="8246"/>
      </w:tblGrid>
      <w:tr w:rsidR="0088219E" w:rsidRPr="0088219E" w:rsidTr="003F215E">
        <w:tc>
          <w:tcPr>
            <w:tcW w:w="1530"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LVA-</w:t>
            </w:r>
            <w:r w:rsidRPr="0088219E">
              <w:rPr>
                <w:rFonts w:cs="Arial"/>
                <w:b/>
                <w:sz w:val="16"/>
                <w:szCs w:val="16"/>
                <w:lang w:val="de-CH"/>
              </w:rPr>
              <w:t>Code</w:t>
            </w:r>
            <w:r w:rsidR="00F46CCD">
              <w:rPr>
                <w:rStyle w:val="Funotenzeichen"/>
                <w:rFonts w:cs="Arial"/>
                <w:b/>
                <w:sz w:val="16"/>
                <w:szCs w:val="16"/>
                <w:lang w:val="de-CH"/>
              </w:rPr>
              <w:footnoteReference w:id="6"/>
            </w:r>
          </w:p>
        </w:tc>
        <w:tc>
          <w:tcPr>
            <w:tcW w:w="8246"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Abfallbeschreibung</w:t>
            </w:r>
          </w:p>
        </w:tc>
      </w:tr>
      <w:tr w:rsidR="0088219E" w:rsidRPr="0088219E" w:rsidTr="003F215E">
        <w:tc>
          <w:tcPr>
            <w:tcW w:w="1530" w:type="dxa"/>
            <w:shd w:val="clear" w:color="auto" w:fill="F2F2F2" w:themeFill="background1" w:themeFillShade="F2"/>
            <w:vAlign w:val="center"/>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18 01 02</w:t>
            </w:r>
          </w:p>
        </w:tc>
        <w:tc>
          <w:tcPr>
            <w:tcW w:w="8246" w:type="dxa"/>
            <w:shd w:val="clear" w:color="auto" w:fill="F2F2F2" w:themeFill="background1" w:themeFillShade="F2"/>
          </w:tcPr>
          <w:p w:rsidR="0088219E" w:rsidRPr="0088219E" w:rsidRDefault="0088219E" w:rsidP="006E0165">
            <w:pPr>
              <w:pStyle w:val="Tabelle"/>
              <w:overflowPunct w:val="0"/>
              <w:autoSpaceDE w:val="0"/>
              <w:autoSpaceDN w:val="0"/>
              <w:adjustRightInd w:val="0"/>
              <w:textAlignment w:val="baseline"/>
              <w:rPr>
                <w:sz w:val="16"/>
                <w:szCs w:val="16"/>
                <w:lang w:val="de-CH"/>
              </w:rPr>
            </w:pPr>
            <w:r w:rsidRPr="0088219E">
              <w:rPr>
                <w:sz w:val="16"/>
                <w:szCs w:val="16"/>
                <w:lang w:val="de-CH"/>
              </w:rPr>
              <w:t>Abfälle mit Kontaminationsgefahr (z.B. Gewebeabfälle, Abfälle mit Blut, Sekreten und Exkreten, Blutbeutel und Blutkonserven)</w:t>
            </w:r>
          </w:p>
        </w:tc>
      </w:tr>
    </w:tbl>
    <w:p w:rsidR="0088219E" w:rsidRDefault="0088219E" w:rsidP="0088219E">
      <w:pPr>
        <w:pStyle w:val="05BAFUGrundschrift"/>
      </w:pPr>
    </w:p>
    <w:p w:rsidR="0088219E" w:rsidRPr="003F215E" w:rsidRDefault="0088219E" w:rsidP="0088219E">
      <w:pPr>
        <w:spacing w:after="60"/>
        <w:rPr>
          <w:rFonts w:ascii="Arial" w:hAnsi="Arial"/>
          <w:b/>
          <w:sz w:val="16"/>
          <w:szCs w:val="16"/>
        </w:rPr>
      </w:pPr>
      <w:r w:rsidRPr="003F215E">
        <w:rPr>
          <w:rFonts w:ascii="Arial" w:hAnsi="Arial"/>
          <w:b/>
          <w:sz w:val="16"/>
          <w:szCs w:val="16"/>
        </w:rPr>
        <w:t xml:space="preserve">Klassierung nach </w:t>
      </w:r>
      <w:r w:rsidR="00BD470D">
        <w:rPr>
          <w:rFonts w:ascii="Arial" w:hAnsi="Arial"/>
          <w:b/>
          <w:sz w:val="16"/>
          <w:szCs w:val="16"/>
        </w:rPr>
        <w:t>ADR/SDR als Gefahrgut</w:t>
      </w:r>
    </w:p>
    <w:tbl>
      <w:tblPr>
        <w:tblW w:w="9776" w:type="dxa"/>
        <w:tblInd w:w="-5" w:type="dxa"/>
        <w:tblLayout w:type="fixed"/>
        <w:tblLook w:val="01E0" w:firstRow="1" w:lastRow="1" w:firstColumn="1" w:lastColumn="1" w:noHBand="0" w:noVBand="0"/>
      </w:tblPr>
      <w:tblGrid>
        <w:gridCol w:w="1531"/>
        <w:gridCol w:w="1417"/>
        <w:gridCol w:w="1553"/>
        <w:gridCol w:w="851"/>
        <w:gridCol w:w="4424"/>
      </w:tblGrid>
      <w:tr w:rsidR="0088219E" w:rsidRPr="0088219E" w:rsidTr="003F215E">
        <w:tc>
          <w:tcPr>
            <w:tcW w:w="1531"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Klasse</w:t>
            </w:r>
          </w:p>
        </w:tc>
        <w:tc>
          <w:tcPr>
            <w:tcW w:w="1417"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Kategorie</w:t>
            </w:r>
          </w:p>
        </w:tc>
        <w:tc>
          <w:tcPr>
            <w:tcW w:w="1553"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UN-Nummer</w:t>
            </w:r>
          </w:p>
        </w:tc>
        <w:tc>
          <w:tcPr>
            <w:tcW w:w="851"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rFonts w:cs="Arial"/>
                <w:b/>
                <w:sz w:val="16"/>
                <w:szCs w:val="16"/>
                <w:lang w:val="de-CH"/>
              </w:rPr>
              <w:t>VG</w:t>
            </w:r>
            <w:r w:rsidR="00A66A3D">
              <w:rPr>
                <w:rStyle w:val="Funotenzeichen"/>
                <w:rFonts w:cs="Arial"/>
                <w:b/>
                <w:sz w:val="16"/>
                <w:szCs w:val="16"/>
                <w:lang w:val="de-CH"/>
              </w:rPr>
              <w:footnoteReference w:id="7"/>
            </w:r>
          </w:p>
        </w:tc>
        <w:tc>
          <w:tcPr>
            <w:tcW w:w="4424" w:type="dxa"/>
            <w:tcBorders>
              <w:top w:val="single" w:sz="4" w:space="0" w:color="000000" w:themeColor="text1"/>
            </w:tcBorders>
            <w:shd w:val="clear" w:color="auto" w:fill="auto"/>
          </w:tcPr>
          <w:p w:rsidR="0088219E" w:rsidRPr="0088219E" w:rsidRDefault="0088219E"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Freigrenze nach ADR - GGBV</w:t>
            </w:r>
          </w:p>
        </w:tc>
      </w:tr>
      <w:tr w:rsidR="0088219E" w:rsidRPr="0088219E" w:rsidTr="003F215E">
        <w:tc>
          <w:tcPr>
            <w:tcW w:w="1531" w:type="dxa"/>
            <w:shd w:val="clear" w:color="auto" w:fill="F2F2F2" w:themeFill="background1" w:themeFillShade="F2"/>
            <w:vAlign w:val="center"/>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6.2</w:t>
            </w:r>
          </w:p>
        </w:tc>
        <w:tc>
          <w:tcPr>
            <w:tcW w:w="1417" w:type="dxa"/>
            <w:shd w:val="clear" w:color="auto" w:fill="F2F2F2" w:themeFill="background1" w:themeFillShade="F2"/>
            <w:vAlign w:val="center"/>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B</w:t>
            </w:r>
          </w:p>
        </w:tc>
        <w:tc>
          <w:tcPr>
            <w:tcW w:w="1553" w:type="dxa"/>
            <w:shd w:val="clear" w:color="auto" w:fill="F2F2F2" w:themeFill="background1" w:themeFillShade="F2"/>
            <w:vAlign w:val="center"/>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3291</w:t>
            </w:r>
          </w:p>
        </w:tc>
        <w:tc>
          <w:tcPr>
            <w:tcW w:w="851" w:type="dxa"/>
            <w:shd w:val="clear" w:color="auto" w:fill="F2F2F2" w:themeFill="background1" w:themeFillShade="F2"/>
            <w:vAlign w:val="center"/>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II</w:t>
            </w:r>
          </w:p>
        </w:tc>
        <w:tc>
          <w:tcPr>
            <w:tcW w:w="4424" w:type="dxa"/>
            <w:shd w:val="clear" w:color="auto" w:fill="F2F2F2" w:themeFill="background1" w:themeFillShade="F2"/>
          </w:tcPr>
          <w:p w:rsidR="0088219E" w:rsidRPr="0088219E" w:rsidRDefault="0088219E" w:rsidP="006E0165">
            <w:pPr>
              <w:pStyle w:val="Tabelle"/>
              <w:overflowPunct w:val="0"/>
              <w:autoSpaceDE w:val="0"/>
              <w:autoSpaceDN w:val="0"/>
              <w:adjustRightInd w:val="0"/>
              <w:jc w:val="both"/>
              <w:textAlignment w:val="baseline"/>
              <w:rPr>
                <w:sz w:val="16"/>
                <w:szCs w:val="16"/>
                <w:lang w:val="de-CH"/>
              </w:rPr>
            </w:pPr>
            <w:r w:rsidRPr="0088219E">
              <w:rPr>
                <w:sz w:val="16"/>
                <w:szCs w:val="16"/>
                <w:lang w:val="de-CH"/>
              </w:rPr>
              <w:t>333 kg oder Liter</w:t>
            </w:r>
          </w:p>
        </w:tc>
      </w:tr>
    </w:tbl>
    <w:p w:rsidR="00A66A3D" w:rsidRDefault="0088219E" w:rsidP="005310EE">
      <w:pPr>
        <w:pStyle w:val="02BAFUTitelnummeriert"/>
        <w:spacing w:before="284"/>
      </w:pPr>
      <w:r>
        <w:t xml:space="preserve"> </w:t>
      </w:r>
      <w:r w:rsidR="00A66A3D">
        <w:t>Tierische Abfälle</w:t>
      </w:r>
      <w:r w:rsidR="00A66A3D">
        <w:rPr>
          <w:rStyle w:val="Funotenzeichen"/>
        </w:rPr>
        <w:footnoteReference w:id="8"/>
      </w:r>
      <w:r w:rsidR="00A66A3D">
        <w:t xml:space="preserve"> </w:t>
      </w:r>
    </w:p>
    <w:p w:rsidR="00A66A3D" w:rsidRDefault="00A66A3D" w:rsidP="00A66A3D">
      <w:pPr>
        <w:pStyle w:val="05BAFUGrundschrift"/>
      </w:pPr>
      <w:r>
        <w:t>Abfälle von Kleintieren, welche aus den Tätigkeiten der Klasse 2 gemäss ESV stammen und die gentechnisch veränderte oder pathogene Organismen enthalten, werden grundsätzlich vor Ort inaktiviert und dann gemäss der Umweltschutz- oder der Tierseuchengesetzgebung entsorgt (je nach der Art des Abfalls nach der VTNP oder nach der VeVA.</w:t>
      </w:r>
    </w:p>
    <w:p w:rsidR="00A66A3D" w:rsidRDefault="00A66A3D" w:rsidP="00A66A3D">
      <w:pPr>
        <w:pStyle w:val="05BAFUGrundschrift"/>
      </w:pPr>
      <w:r>
        <w:t>Die Zwischenlagerung bis zur Entsorgung erfolgt gekühlt (mindestens +4°C, optimal bei -20°C) an einem nur dem Fachpersonal zugänglichen Ort.</w:t>
      </w:r>
    </w:p>
    <w:p w:rsidR="00A66A3D" w:rsidRDefault="00A66A3D" w:rsidP="00A66A3D">
      <w:pPr>
        <w:pStyle w:val="05BAFUGrundschrift"/>
      </w:pPr>
      <w:r>
        <w:t>Für die Entsorgung und den Transport nach der Tierseuchengesetzgebung müssen die toten Tiere oder Teile davon eindeutig gekennzeichnet sein, von einem Dokument mit Angaben über die Herkunft und Art des Materials sowie über dessen Bestimmunsort begleitet und in einer bewilligten Entsorgungsanlage verbrannt werden (siehe Anhang I VTNP).</w:t>
      </w:r>
    </w:p>
    <w:p w:rsidR="00993C56" w:rsidRDefault="00A66A3D" w:rsidP="00A66A3D">
      <w:pPr>
        <w:pStyle w:val="05BAFUGrundschrift"/>
      </w:pPr>
      <w:r>
        <w:t>Für die Entsorgung und den Transport als Sonderabfall wird ein Begleitsche</w:t>
      </w:r>
      <w:r w:rsidR="00BD470D">
        <w:t>in (für Kleinmengen eine Sammel</w:t>
      </w:r>
      <w:r>
        <w:t>liste) gemäss VeVA und LVA erstellt und mit den Eintragungen nach ADR ergänzt bzw. ein zusätzliches Beförderungspapier nach ADR ausgefüllt.</w:t>
      </w:r>
    </w:p>
    <w:p w:rsidR="00993C56" w:rsidRDefault="00993C56">
      <w:pPr>
        <w:rPr>
          <w:rFonts w:ascii="Arial" w:hAnsi="Arial" w:cs="Arial"/>
          <w:noProof/>
          <w:sz w:val="20"/>
          <w:szCs w:val="20"/>
          <w:lang w:eastAsia="de-CH"/>
        </w:rPr>
      </w:pPr>
      <w:r>
        <w:br w:type="page"/>
      </w:r>
    </w:p>
    <w:p w:rsidR="00BD470D" w:rsidRPr="003F215E" w:rsidRDefault="00BD470D" w:rsidP="00BD470D">
      <w:pPr>
        <w:spacing w:after="60"/>
        <w:rPr>
          <w:rFonts w:ascii="Arial" w:hAnsi="Arial"/>
          <w:b/>
          <w:sz w:val="16"/>
          <w:szCs w:val="16"/>
        </w:rPr>
      </w:pPr>
      <w:r w:rsidRPr="00BD470D">
        <w:rPr>
          <w:rFonts w:ascii="Arial" w:hAnsi="Arial"/>
          <w:b/>
          <w:sz w:val="16"/>
          <w:szCs w:val="16"/>
        </w:rPr>
        <w:lastRenderedPageBreak/>
        <w:t xml:space="preserve">Codierung nach </w:t>
      </w:r>
      <w:proofErr w:type="spellStart"/>
      <w:r w:rsidRPr="00BD470D">
        <w:rPr>
          <w:rFonts w:ascii="Arial" w:hAnsi="Arial"/>
          <w:b/>
          <w:sz w:val="16"/>
          <w:szCs w:val="16"/>
        </w:rPr>
        <w:t>VeVA</w:t>
      </w:r>
      <w:proofErr w:type="spellEnd"/>
      <w:r w:rsidRPr="00BD470D">
        <w:rPr>
          <w:rFonts w:ascii="Arial" w:hAnsi="Arial"/>
          <w:b/>
          <w:sz w:val="16"/>
          <w:szCs w:val="16"/>
        </w:rPr>
        <w:t xml:space="preserve"> als Sonderabfall</w:t>
      </w:r>
    </w:p>
    <w:tbl>
      <w:tblPr>
        <w:tblW w:w="9776" w:type="dxa"/>
        <w:tblInd w:w="-5" w:type="dxa"/>
        <w:tblLayout w:type="fixed"/>
        <w:tblLook w:val="01E0" w:firstRow="1" w:lastRow="1" w:firstColumn="1" w:lastColumn="1" w:noHBand="0" w:noVBand="0"/>
      </w:tblPr>
      <w:tblGrid>
        <w:gridCol w:w="1530"/>
        <w:gridCol w:w="8246"/>
      </w:tblGrid>
      <w:tr w:rsidR="00BD470D" w:rsidRPr="0088219E" w:rsidTr="006E0165">
        <w:tc>
          <w:tcPr>
            <w:tcW w:w="1530" w:type="dxa"/>
            <w:tcBorders>
              <w:top w:val="single" w:sz="4" w:space="0" w:color="000000" w:themeColor="text1"/>
            </w:tcBorders>
            <w:shd w:val="clear" w:color="auto" w:fill="auto"/>
          </w:tcPr>
          <w:p w:rsidR="00BD470D" w:rsidRPr="0088219E" w:rsidRDefault="00BD470D"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LVA-</w:t>
            </w:r>
            <w:r w:rsidRPr="0088219E">
              <w:rPr>
                <w:rFonts w:cs="Arial"/>
                <w:b/>
                <w:sz w:val="16"/>
                <w:szCs w:val="16"/>
                <w:lang w:val="de-CH"/>
              </w:rPr>
              <w:t>Code</w:t>
            </w:r>
            <w:r>
              <w:rPr>
                <w:rStyle w:val="Funotenzeichen"/>
                <w:rFonts w:cs="Arial"/>
                <w:b/>
                <w:sz w:val="16"/>
                <w:szCs w:val="16"/>
                <w:lang w:val="de-CH"/>
              </w:rPr>
              <w:footnoteReference w:id="9"/>
            </w:r>
          </w:p>
        </w:tc>
        <w:tc>
          <w:tcPr>
            <w:tcW w:w="8246" w:type="dxa"/>
            <w:tcBorders>
              <w:top w:val="single" w:sz="4" w:space="0" w:color="000000" w:themeColor="text1"/>
            </w:tcBorders>
            <w:shd w:val="clear" w:color="auto" w:fill="auto"/>
          </w:tcPr>
          <w:p w:rsidR="00BD470D" w:rsidRPr="0088219E" w:rsidRDefault="00BD470D" w:rsidP="006E0165">
            <w:pPr>
              <w:pStyle w:val="Tabelle"/>
              <w:overflowPunct w:val="0"/>
              <w:autoSpaceDE w:val="0"/>
              <w:autoSpaceDN w:val="0"/>
              <w:adjustRightInd w:val="0"/>
              <w:jc w:val="both"/>
              <w:textAlignment w:val="baseline"/>
              <w:rPr>
                <w:b/>
                <w:sz w:val="16"/>
                <w:szCs w:val="16"/>
                <w:lang w:val="de-CH"/>
              </w:rPr>
            </w:pPr>
            <w:r w:rsidRPr="0088219E">
              <w:rPr>
                <w:b/>
                <w:sz w:val="16"/>
                <w:szCs w:val="16"/>
                <w:lang w:val="de-CH"/>
              </w:rPr>
              <w:t>Abfallbeschreibung</w:t>
            </w:r>
          </w:p>
        </w:tc>
      </w:tr>
      <w:tr w:rsidR="00BD470D" w:rsidRPr="0088219E" w:rsidTr="006E0165">
        <w:tc>
          <w:tcPr>
            <w:tcW w:w="1530" w:type="dxa"/>
            <w:shd w:val="clear" w:color="auto" w:fill="F2F2F2" w:themeFill="background1" w:themeFillShade="F2"/>
            <w:vAlign w:val="center"/>
          </w:tcPr>
          <w:p w:rsidR="00BD470D" w:rsidRPr="0088219E" w:rsidRDefault="00BD470D" w:rsidP="006E0165">
            <w:pPr>
              <w:pStyle w:val="Tabelle"/>
              <w:overflowPunct w:val="0"/>
              <w:autoSpaceDE w:val="0"/>
              <w:autoSpaceDN w:val="0"/>
              <w:adjustRightInd w:val="0"/>
              <w:jc w:val="both"/>
              <w:textAlignment w:val="baseline"/>
              <w:rPr>
                <w:sz w:val="16"/>
                <w:szCs w:val="16"/>
                <w:lang w:val="de-CH"/>
              </w:rPr>
            </w:pPr>
            <w:r w:rsidRPr="00BD470D">
              <w:rPr>
                <w:sz w:val="16"/>
                <w:szCs w:val="16"/>
                <w:lang w:val="de-CH"/>
              </w:rPr>
              <w:t>18 02 98</w:t>
            </w:r>
          </w:p>
        </w:tc>
        <w:tc>
          <w:tcPr>
            <w:tcW w:w="8246" w:type="dxa"/>
            <w:shd w:val="clear" w:color="auto" w:fill="F2F2F2" w:themeFill="background1" w:themeFillShade="F2"/>
          </w:tcPr>
          <w:p w:rsidR="00BD470D" w:rsidRPr="00BD470D" w:rsidRDefault="00BD470D" w:rsidP="00BD470D">
            <w:pPr>
              <w:pStyle w:val="Tabelle"/>
              <w:overflowPunct w:val="0"/>
              <w:autoSpaceDE w:val="0"/>
              <w:autoSpaceDN w:val="0"/>
              <w:adjustRightInd w:val="0"/>
              <w:textAlignment w:val="baseline"/>
              <w:rPr>
                <w:sz w:val="16"/>
                <w:szCs w:val="16"/>
                <w:lang w:val="de-CH"/>
              </w:rPr>
            </w:pPr>
            <w:r w:rsidRPr="00BD470D">
              <w:rPr>
                <w:sz w:val="16"/>
                <w:szCs w:val="16"/>
                <w:lang w:val="de-CH"/>
              </w:rPr>
              <w:t>Tierische Abfälle mi</w:t>
            </w:r>
            <w:r>
              <w:rPr>
                <w:sz w:val="16"/>
                <w:szCs w:val="16"/>
                <w:lang w:val="de-CH"/>
              </w:rPr>
              <w:t>t Kontaminationsgefahr (z.B. Ge</w:t>
            </w:r>
            <w:r w:rsidRPr="00BD470D">
              <w:rPr>
                <w:sz w:val="16"/>
                <w:szCs w:val="16"/>
                <w:lang w:val="de-CH"/>
              </w:rPr>
              <w:t>webeabfälle, Abfäl</w:t>
            </w:r>
            <w:r>
              <w:rPr>
                <w:sz w:val="16"/>
                <w:szCs w:val="16"/>
                <w:lang w:val="de-CH"/>
              </w:rPr>
              <w:t>le mit Blut, Sekreten und Exkre</w:t>
            </w:r>
            <w:r w:rsidRPr="00BD470D">
              <w:rPr>
                <w:sz w:val="16"/>
                <w:szCs w:val="16"/>
                <w:lang w:val="de-CH"/>
              </w:rPr>
              <w:t>ten, Blutbeutel und Blutkonserven,</w:t>
            </w:r>
          </w:p>
          <w:p w:rsidR="00BD470D" w:rsidRPr="0088219E" w:rsidRDefault="00BD470D" w:rsidP="00BD470D">
            <w:pPr>
              <w:pStyle w:val="Tabelle"/>
              <w:overflowPunct w:val="0"/>
              <w:autoSpaceDE w:val="0"/>
              <w:autoSpaceDN w:val="0"/>
              <w:adjustRightInd w:val="0"/>
              <w:textAlignment w:val="baseline"/>
              <w:rPr>
                <w:sz w:val="16"/>
                <w:szCs w:val="16"/>
                <w:lang w:val="de-CH"/>
              </w:rPr>
            </w:pPr>
            <w:r w:rsidRPr="00BD470D">
              <w:rPr>
                <w:sz w:val="16"/>
                <w:szCs w:val="16"/>
                <w:lang w:val="de-CH"/>
              </w:rPr>
              <w:t>kontaminierte Kadaver von [Versuchs-]Tieren)</w:t>
            </w:r>
          </w:p>
        </w:tc>
      </w:tr>
    </w:tbl>
    <w:p w:rsidR="00423618" w:rsidRDefault="00423618" w:rsidP="002B0862">
      <w:pPr>
        <w:pStyle w:val="05BAFUGrundschriftAufzhlung"/>
        <w:numPr>
          <w:ilvl w:val="0"/>
          <w:numId w:val="0"/>
        </w:numPr>
      </w:pPr>
    </w:p>
    <w:p w:rsidR="00993C56" w:rsidRPr="003F215E" w:rsidRDefault="00993C56" w:rsidP="00993C56">
      <w:pPr>
        <w:spacing w:after="60"/>
        <w:rPr>
          <w:rFonts w:ascii="Arial" w:hAnsi="Arial"/>
          <w:b/>
          <w:sz w:val="16"/>
          <w:szCs w:val="16"/>
        </w:rPr>
      </w:pPr>
      <w:r w:rsidRPr="00993C56">
        <w:rPr>
          <w:rFonts w:ascii="Arial" w:hAnsi="Arial"/>
          <w:b/>
          <w:sz w:val="16"/>
          <w:szCs w:val="16"/>
        </w:rPr>
        <w:t>Klassierung nach ADR/SDR als Gefahrgut</w:t>
      </w:r>
    </w:p>
    <w:tbl>
      <w:tblPr>
        <w:tblW w:w="0" w:type="auto"/>
        <w:tblInd w:w="-5" w:type="dxa"/>
        <w:tblLook w:val="01E0" w:firstRow="1" w:lastRow="1" w:firstColumn="1" w:lastColumn="1" w:noHBand="0" w:noVBand="0"/>
      </w:tblPr>
      <w:tblGrid>
        <w:gridCol w:w="1592"/>
        <w:gridCol w:w="1579"/>
        <w:gridCol w:w="1584"/>
        <w:gridCol w:w="727"/>
        <w:gridCol w:w="3010"/>
      </w:tblGrid>
      <w:tr w:rsidR="00993C56" w:rsidRPr="00993C56" w:rsidTr="00993C56">
        <w:tc>
          <w:tcPr>
            <w:tcW w:w="1592" w:type="dxa"/>
            <w:tcBorders>
              <w:top w:val="single" w:sz="4" w:space="0" w:color="000000" w:themeColor="text1"/>
            </w:tcBorders>
            <w:shd w:val="clear" w:color="auto" w:fill="auto"/>
          </w:tcPr>
          <w:p w:rsidR="00993C56" w:rsidRPr="00993C56" w:rsidRDefault="00993C56" w:rsidP="006E0165">
            <w:pPr>
              <w:pStyle w:val="Tabelle"/>
              <w:overflowPunct w:val="0"/>
              <w:autoSpaceDE w:val="0"/>
              <w:autoSpaceDN w:val="0"/>
              <w:adjustRightInd w:val="0"/>
              <w:spacing w:line="240" w:lineRule="exact"/>
              <w:jc w:val="both"/>
              <w:textAlignment w:val="baseline"/>
              <w:rPr>
                <w:b/>
                <w:sz w:val="16"/>
                <w:szCs w:val="16"/>
                <w:lang w:val="de-CH"/>
              </w:rPr>
            </w:pPr>
            <w:r w:rsidRPr="00993C56">
              <w:rPr>
                <w:b/>
                <w:sz w:val="16"/>
                <w:szCs w:val="16"/>
                <w:lang w:val="de-CH"/>
              </w:rPr>
              <w:t>Klasse</w:t>
            </w:r>
          </w:p>
        </w:tc>
        <w:tc>
          <w:tcPr>
            <w:tcW w:w="1579" w:type="dxa"/>
            <w:tcBorders>
              <w:top w:val="single" w:sz="4" w:space="0" w:color="000000" w:themeColor="text1"/>
            </w:tcBorders>
            <w:shd w:val="clear" w:color="auto" w:fill="auto"/>
          </w:tcPr>
          <w:p w:rsidR="00993C56" w:rsidRPr="00993C56" w:rsidRDefault="00993C56" w:rsidP="006E0165">
            <w:pPr>
              <w:pStyle w:val="Tabelle"/>
              <w:overflowPunct w:val="0"/>
              <w:autoSpaceDE w:val="0"/>
              <w:autoSpaceDN w:val="0"/>
              <w:adjustRightInd w:val="0"/>
              <w:spacing w:line="240" w:lineRule="exact"/>
              <w:jc w:val="both"/>
              <w:textAlignment w:val="baseline"/>
              <w:rPr>
                <w:b/>
                <w:sz w:val="16"/>
                <w:szCs w:val="16"/>
                <w:lang w:val="de-CH"/>
              </w:rPr>
            </w:pPr>
            <w:r w:rsidRPr="00993C56">
              <w:rPr>
                <w:b/>
                <w:sz w:val="16"/>
                <w:szCs w:val="16"/>
                <w:lang w:val="de-CH"/>
              </w:rPr>
              <w:t>Kategorie</w:t>
            </w:r>
          </w:p>
        </w:tc>
        <w:tc>
          <w:tcPr>
            <w:tcW w:w="1584" w:type="dxa"/>
            <w:tcBorders>
              <w:top w:val="single" w:sz="4" w:space="0" w:color="000000" w:themeColor="text1"/>
            </w:tcBorders>
            <w:shd w:val="clear" w:color="auto" w:fill="auto"/>
          </w:tcPr>
          <w:p w:rsidR="00993C56" w:rsidRPr="00993C56" w:rsidRDefault="00993C56" w:rsidP="006E0165">
            <w:pPr>
              <w:pStyle w:val="Tabelle"/>
              <w:overflowPunct w:val="0"/>
              <w:autoSpaceDE w:val="0"/>
              <w:autoSpaceDN w:val="0"/>
              <w:adjustRightInd w:val="0"/>
              <w:spacing w:line="240" w:lineRule="exact"/>
              <w:jc w:val="both"/>
              <w:textAlignment w:val="baseline"/>
              <w:rPr>
                <w:b/>
                <w:sz w:val="16"/>
                <w:szCs w:val="16"/>
                <w:lang w:val="de-CH"/>
              </w:rPr>
            </w:pPr>
            <w:r w:rsidRPr="00993C56">
              <w:rPr>
                <w:b/>
                <w:sz w:val="16"/>
                <w:szCs w:val="16"/>
                <w:lang w:val="de-CH"/>
              </w:rPr>
              <w:t>UN-Nummer</w:t>
            </w:r>
          </w:p>
        </w:tc>
        <w:tc>
          <w:tcPr>
            <w:tcW w:w="727" w:type="dxa"/>
            <w:tcBorders>
              <w:top w:val="single" w:sz="4" w:space="0" w:color="000000" w:themeColor="text1"/>
            </w:tcBorders>
            <w:shd w:val="clear" w:color="auto" w:fill="auto"/>
          </w:tcPr>
          <w:p w:rsidR="00993C56" w:rsidRPr="00993C56" w:rsidRDefault="00993C56" w:rsidP="00993C56">
            <w:pPr>
              <w:pStyle w:val="Tabelle"/>
              <w:overflowPunct w:val="0"/>
              <w:autoSpaceDE w:val="0"/>
              <w:autoSpaceDN w:val="0"/>
              <w:adjustRightInd w:val="0"/>
              <w:spacing w:line="240" w:lineRule="exact"/>
              <w:jc w:val="both"/>
              <w:textAlignment w:val="baseline"/>
              <w:rPr>
                <w:b/>
                <w:sz w:val="16"/>
                <w:szCs w:val="16"/>
                <w:lang w:val="de-CH"/>
              </w:rPr>
            </w:pPr>
            <w:r w:rsidRPr="00993C56">
              <w:rPr>
                <w:rFonts w:cs="Arial"/>
                <w:b/>
                <w:sz w:val="16"/>
                <w:szCs w:val="16"/>
                <w:lang w:val="de-CH"/>
              </w:rPr>
              <w:t>VG</w:t>
            </w:r>
            <w:r>
              <w:rPr>
                <w:rStyle w:val="Funotenzeichen"/>
                <w:rFonts w:cs="Arial"/>
                <w:b/>
                <w:sz w:val="16"/>
                <w:szCs w:val="16"/>
                <w:lang w:val="de-CH"/>
              </w:rPr>
              <w:footnoteReference w:id="10"/>
            </w:r>
          </w:p>
        </w:tc>
        <w:tc>
          <w:tcPr>
            <w:tcW w:w="3010" w:type="dxa"/>
            <w:tcBorders>
              <w:top w:val="single" w:sz="4" w:space="0" w:color="000000" w:themeColor="text1"/>
            </w:tcBorders>
            <w:shd w:val="clear" w:color="auto" w:fill="auto"/>
          </w:tcPr>
          <w:p w:rsidR="00993C56" w:rsidRPr="00993C56" w:rsidRDefault="00993C56" w:rsidP="006E0165">
            <w:pPr>
              <w:pStyle w:val="Tabelle"/>
              <w:overflowPunct w:val="0"/>
              <w:autoSpaceDE w:val="0"/>
              <w:autoSpaceDN w:val="0"/>
              <w:adjustRightInd w:val="0"/>
              <w:spacing w:line="240" w:lineRule="exact"/>
              <w:jc w:val="both"/>
              <w:textAlignment w:val="baseline"/>
              <w:rPr>
                <w:b/>
                <w:sz w:val="16"/>
                <w:szCs w:val="16"/>
                <w:lang w:val="de-CH"/>
              </w:rPr>
            </w:pPr>
            <w:r w:rsidRPr="00993C56">
              <w:rPr>
                <w:b/>
                <w:sz w:val="16"/>
                <w:szCs w:val="16"/>
                <w:lang w:val="de-CH"/>
              </w:rPr>
              <w:t>Bezeichnung</w:t>
            </w:r>
          </w:p>
        </w:tc>
      </w:tr>
      <w:tr w:rsidR="00993C56" w:rsidRPr="00993C56" w:rsidTr="00993C56">
        <w:tc>
          <w:tcPr>
            <w:tcW w:w="1592" w:type="dxa"/>
            <w:shd w:val="clear" w:color="auto" w:fill="F2F2F2" w:themeFill="background1" w:themeFillShade="F2"/>
          </w:tcPr>
          <w:p w:rsidR="00993C56" w:rsidRPr="00993C56" w:rsidRDefault="00993C56" w:rsidP="006E0165">
            <w:pPr>
              <w:pStyle w:val="Tabelle"/>
              <w:overflowPunct w:val="0"/>
              <w:autoSpaceDE w:val="0"/>
              <w:autoSpaceDN w:val="0"/>
              <w:adjustRightInd w:val="0"/>
              <w:spacing w:line="240" w:lineRule="exact"/>
              <w:jc w:val="both"/>
              <w:textAlignment w:val="baseline"/>
              <w:rPr>
                <w:sz w:val="16"/>
                <w:szCs w:val="16"/>
                <w:lang w:val="de-CH"/>
              </w:rPr>
            </w:pPr>
            <w:r w:rsidRPr="00993C56">
              <w:rPr>
                <w:sz w:val="16"/>
                <w:szCs w:val="16"/>
                <w:lang w:val="de-CH"/>
              </w:rPr>
              <w:t>6.2</w:t>
            </w:r>
          </w:p>
        </w:tc>
        <w:tc>
          <w:tcPr>
            <w:tcW w:w="1579" w:type="dxa"/>
            <w:shd w:val="clear" w:color="auto" w:fill="F2F2F2" w:themeFill="background1" w:themeFillShade="F2"/>
          </w:tcPr>
          <w:p w:rsidR="00993C56" w:rsidRPr="00993C56" w:rsidRDefault="00993C56" w:rsidP="006E0165">
            <w:pPr>
              <w:pStyle w:val="Tabelle"/>
              <w:overflowPunct w:val="0"/>
              <w:autoSpaceDE w:val="0"/>
              <w:autoSpaceDN w:val="0"/>
              <w:adjustRightInd w:val="0"/>
              <w:spacing w:line="240" w:lineRule="exact"/>
              <w:jc w:val="both"/>
              <w:textAlignment w:val="baseline"/>
              <w:rPr>
                <w:sz w:val="16"/>
                <w:szCs w:val="16"/>
                <w:lang w:val="de-CH"/>
              </w:rPr>
            </w:pPr>
            <w:r w:rsidRPr="00993C56">
              <w:rPr>
                <w:sz w:val="16"/>
                <w:szCs w:val="16"/>
                <w:lang w:val="de-CH"/>
              </w:rPr>
              <w:t>B</w:t>
            </w:r>
          </w:p>
        </w:tc>
        <w:tc>
          <w:tcPr>
            <w:tcW w:w="1584" w:type="dxa"/>
            <w:shd w:val="clear" w:color="auto" w:fill="F2F2F2" w:themeFill="background1" w:themeFillShade="F2"/>
          </w:tcPr>
          <w:p w:rsidR="00993C56" w:rsidRPr="00993C56" w:rsidRDefault="00993C56" w:rsidP="006E0165">
            <w:pPr>
              <w:pStyle w:val="Tabelle"/>
              <w:overflowPunct w:val="0"/>
              <w:autoSpaceDE w:val="0"/>
              <w:autoSpaceDN w:val="0"/>
              <w:adjustRightInd w:val="0"/>
              <w:spacing w:line="240" w:lineRule="exact"/>
              <w:jc w:val="both"/>
              <w:textAlignment w:val="baseline"/>
              <w:rPr>
                <w:sz w:val="16"/>
                <w:szCs w:val="16"/>
                <w:lang w:val="de-CH"/>
              </w:rPr>
            </w:pPr>
            <w:r w:rsidRPr="00993C56">
              <w:rPr>
                <w:sz w:val="16"/>
                <w:szCs w:val="16"/>
                <w:lang w:val="de-CH"/>
              </w:rPr>
              <w:t>3291</w:t>
            </w:r>
          </w:p>
        </w:tc>
        <w:tc>
          <w:tcPr>
            <w:tcW w:w="727" w:type="dxa"/>
            <w:shd w:val="clear" w:color="auto" w:fill="F2F2F2" w:themeFill="background1" w:themeFillShade="F2"/>
          </w:tcPr>
          <w:p w:rsidR="00993C56" w:rsidRPr="00993C56" w:rsidRDefault="00993C56" w:rsidP="006E0165">
            <w:pPr>
              <w:pStyle w:val="Tabelle"/>
              <w:overflowPunct w:val="0"/>
              <w:autoSpaceDE w:val="0"/>
              <w:autoSpaceDN w:val="0"/>
              <w:adjustRightInd w:val="0"/>
              <w:spacing w:line="240" w:lineRule="exact"/>
              <w:jc w:val="both"/>
              <w:textAlignment w:val="baseline"/>
              <w:rPr>
                <w:sz w:val="16"/>
                <w:szCs w:val="16"/>
                <w:lang w:val="de-CH"/>
              </w:rPr>
            </w:pPr>
            <w:r w:rsidRPr="00993C56">
              <w:rPr>
                <w:sz w:val="16"/>
                <w:szCs w:val="16"/>
                <w:lang w:val="de-CH"/>
              </w:rPr>
              <w:t>II</w:t>
            </w:r>
          </w:p>
        </w:tc>
        <w:tc>
          <w:tcPr>
            <w:tcW w:w="3010" w:type="dxa"/>
            <w:shd w:val="clear" w:color="auto" w:fill="F2F2F2" w:themeFill="background1" w:themeFillShade="F2"/>
          </w:tcPr>
          <w:p w:rsidR="00993C56" w:rsidRPr="00993C56" w:rsidRDefault="00993C56" w:rsidP="006E0165">
            <w:pPr>
              <w:pStyle w:val="Tabelle"/>
              <w:overflowPunct w:val="0"/>
              <w:autoSpaceDE w:val="0"/>
              <w:autoSpaceDN w:val="0"/>
              <w:adjustRightInd w:val="0"/>
              <w:spacing w:line="240" w:lineRule="exact"/>
              <w:textAlignment w:val="baseline"/>
              <w:rPr>
                <w:sz w:val="16"/>
                <w:szCs w:val="16"/>
                <w:lang w:val="de-CH"/>
              </w:rPr>
            </w:pPr>
            <w:r w:rsidRPr="00993C56">
              <w:rPr>
                <w:sz w:val="16"/>
                <w:szCs w:val="16"/>
                <w:lang w:val="de-CH"/>
              </w:rPr>
              <w:t xml:space="preserve">Klinischer Abfall, </w:t>
            </w:r>
            <w:proofErr w:type="spellStart"/>
            <w:r w:rsidRPr="00993C56">
              <w:rPr>
                <w:sz w:val="16"/>
                <w:szCs w:val="16"/>
                <w:lang w:val="de-CH"/>
              </w:rPr>
              <w:t>unspezifiziert</w:t>
            </w:r>
            <w:proofErr w:type="spellEnd"/>
            <w:r w:rsidRPr="00993C56">
              <w:rPr>
                <w:sz w:val="16"/>
                <w:szCs w:val="16"/>
                <w:lang w:val="de-CH"/>
              </w:rPr>
              <w:t xml:space="preserve">, </w:t>
            </w:r>
            <w:proofErr w:type="spellStart"/>
            <w:r w:rsidRPr="00993C56">
              <w:rPr>
                <w:sz w:val="16"/>
                <w:szCs w:val="16"/>
                <w:lang w:val="de-CH"/>
              </w:rPr>
              <w:t>n.a.g</w:t>
            </w:r>
            <w:proofErr w:type="spellEnd"/>
            <w:r w:rsidRPr="00993C56">
              <w:rPr>
                <w:sz w:val="16"/>
                <w:szCs w:val="16"/>
                <w:lang w:val="de-CH"/>
              </w:rPr>
              <w:t>. (tierische Abfälle)</w:t>
            </w:r>
          </w:p>
        </w:tc>
      </w:tr>
    </w:tbl>
    <w:p w:rsidR="00EF1063" w:rsidRDefault="00EF1063" w:rsidP="005310EE">
      <w:pPr>
        <w:pStyle w:val="02BAFUTitelnummeriert"/>
        <w:spacing w:before="284"/>
      </w:pPr>
      <w:r>
        <w:t xml:space="preserve">Schnittstellen </w:t>
      </w:r>
    </w:p>
    <w:p w:rsidR="00EF1063" w:rsidRDefault="00EF1063" w:rsidP="004E5C57">
      <w:pPr>
        <w:pStyle w:val="05BAFUGrundschriftohneAbstanddanach"/>
      </w:pPr>
      <w:r>
        <w:t>Bei der Entsorgung von biologisch kontaminierten Abfällen sind die Schnittstellen mit anderen Sicherheits- bzw. Entsorgungskonzepten folgendermassen geregelt:</w:t>
      </w:r>
    </w:p>
    <w:p w:rsidR="00EF1063" w:rsidRDefault="00EF1063" w:rsidP="00EF1063">
      <w:pPr>
        <w:pStyle w:val="05BAFUGrundschriftAufzhlung"/>
        <w:ind w:left="378" w:hanging="364"/>
      </w:pPr>
      <w:r w:rsidRPr="0037648C">
        <w:rPr>
          <w:b/>
        </w:rPr>
        <w:t>Radioaktivität:</w:t>
      </w:r>
      <w:r>
        <w:t xml:space="preserve"> Biologische Abfälle der Sicherheitsstufe 2, die Radioaktivität enthalten, sind zuerst mit ausreichend Desinfektionsmittel vollständig zu inaktivieren und anschliessend dem entsprechenden radioaktiven Abfall zu zu führen.</w:t>
      </w:r>
    </w:p>
    <w:p w:rsidR="00EF1063" w:rsidRDefault="00EF1063" w:rsidP="00EF1063">
      <w:pPr>
        <w:pStyle w:val="05BAFUGrundschriftAufzhlung"/>
        <w:ind w:left="378" w:hanging="364"/>
      </w:pPr>
      <w:r w:rsidRPr="0037648C">
        <w:rPr>
          <w:b/>
        </w:rPr>
        <w:t>Chemikalien:</w:t>
      </w:r>
      <w:r>
        <w:t xml:space="preserve"> Biologische Abfälle der Sicherheitsstufe 2, die giftige und krebserregende Chemikalien enthalten, sind zuerst mit ausreichend Desinfektionsmittel vollständig zu inaktivieren und anschliessend dem entsprechenden Sonderabfall zu zu führen.</w:t>
      </w:r>
    </w:p>
    <w:p w:rsidR="00423618" w:rsidRDefault="00EF1063" w:rsidP="00EF1063">
      <w:pPr>
        <w:pStyle w:val="05BAFUGrundschriftAufzhlung"/>
        <w:ind w:left="378" w:hanging="364"/>
      </w:pPr>
      <w:r w:rsidRPr="0037648C">
        <w:rPr>
          <w:b/>
        </w:rPr>
        <w:t>Abfalltrennung / Recycling:</w:t>
      </w:r>
      <w:r>
        <w:t xml:space="preserve"> Wo immer möglich, ist der Abfall in verschiedene Stoffgruppen zu trennen. Wieder verwertbare Stoffe sind zu recyclieren.</w:t>
      </w: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p w:rsidR="005310EE" w:rsidRDefault="005310EE" w:rsidP="002B0862">
      <w:pPr>
        <w:pStyle w:val="05BAFUGrundschriftAufzhlung"/>
        <w:numPr>
          <w:ilvl w:val="0"/>
          <w:numId w:val="0"/>
        </w:numPr>
      </w:pPr>
    </w:p>
    <w:p w:rsidR="005310EE" w:rsidRDefault="005310EE" w:rsidP="002B0862">
      <w:pPr>
        <w:pStyle w:val="05BAFUGrundschriftAufzhlung"/>
        <w:numPr>
          <w:ilvl w:val="0"/>
          <w:numId w:val="0"/>
        </w:numPr>
      </w:pPr>
    </w:p>
    <w:p w:rsidR="005310EE" w:rsidRDefault="005310EE" w:rsidP="002B0862">
      <w:pPr>
        <w:pStyle w:val="05BAFUGrundschriftAufzhlung"/>
        <w:numPr>
          <w:ilvl w:val="0"/>
          <w:numId w:val="0"/>
        </w:numPr>
      </w:pPr>
    </w:p>
    <w:p w:rsidR="005310EE" w:rsidRDefault="005310EE" w:rsidP="002B0862">
      <w:pPr>
        <w:pStyle w:val="05BAFUGrundschriftAufzhlung"/>
        <w:numPr>
          <w:ilvl w:val="0"/>
          <w:numId w:val="0"/>
        </w:numPr>
      </w:pP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p w:rsidR="00323F45" w:rsidRDefault="00323F45" w:rsidP="002B0862">
      <w:pPr>
        <w:pStyle w:val="05BAFUGrundschriftAufzhlung"/>
        <w:numPr>
          <w:ilvl w:val="0"/>
          <w:numId w:val="0"/>
        </w:numPr>
      </w:pPr>
    </w:p>
    <w:tbl>
      <w:tblPr>
        <w:tblStyle w:val="Gitternetztabelle2"/>
        <w:tblpPr w:leftFromText="141" w:rightFromText="141" w:vertAnchor="text" w:horzAnchor="margin" w:tblpY="1662"/>
        <w:tblW w:w="9897" w:type="dxa"/>
        <w:tblLayout w:type="fixed"/>
        <w:tblCellMar>
          <w:left w:w="57" w:type="dxa"/>
          <w:right w:w="57" w:type="dxa"/>
        </w:tblCellMar>
        <w:tblLook w:val="04A0" w:firstRow="1" w:lastRow="0" w:firstColumn="1" w:lastColumn="0" w:noHBand="0" w:noVBand="1"/>
      </w:tblPr>
      <w:tblGrid>
        <w:gridCol w:w="2410"/>
        <w:gridCol w:w="7487"/>
      </w:tblGrid>
      <w:tr w:rsidR="00EF1063" w:rsidRPr="00843E20" w:rsidTr="00EF1063">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bottom w:val="nil"/>
              <w:right w:val="single" w:sz="4" w:space="0" w:color="FFFFFF" w:themeColor="background1"/>
            </w:tcBorders>
            <w:shd w:val="clear" w:color="auto" w:fill="F2F2F2" w:themeFill="background1" w:themeFillShade="F2"/>
            <w:vAlign w:val="center"/>
          </w:tcPr>
          <w:p w:rsidR="00EF1063" w:rsidRPr="00CF6289" w:rsidRDefault="00EF1063" w:rsidP="00EF1063">
            <w:pPr>
              <w:pStyle w:val="07BAFUTabellelinks"/>
            </w:pPr>
            <w:proofErr w:type="spellStart"/>
            <w:r w:rsidRPr="00A9301F">
              <w:rPr>
                <w:color w:val="6C9051" w:themeColor="accent2" w:themeShade="BF"/>
              </w:rPr>
              <w:t>Verfasst</w:t>
            </w:r>
            <w:proofErr w:type="spellEnd"/>
            <w:r w:rsidRPr="00A9301F">
              <w:rPr>
                <w:color w:val="6C9051" w:themeColor="accent2" w:themeShade="BF"/>
              </w:rPr>
              <w:t xml:space="preserve"> / </w:t>
            </w:r>
            <w:proofErr w:type="spellStart"/>
            <w:r w:rsidRPr="00A9301F">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EF1063" w:rsidRPr="00CF6289" w:rsidRDefault="00EF1063" w:rsidP="00EF1063">
            <w:pPr>
              <w:pStyle w:val="07BAFUTabellelinks"/>
              <w:cnfStyle w:val="100000000000" w:firstRow="1" w:lastRow="0" w:firstColumn="0" w:lastColumn="0" w:oddVBand="0" w:evenVBand="0" w:oddHBand="0" w:evenHBand="0" w:firstRowFirstColumn="0" w:firstRowLastColumn="0" w:lastRowFirstColumn="0" w:lastRowLastColumn="0"/>
            </w:pPr>
          </w:p>
        </w:tc>
      </w:tr>
      <w:tr w:rsidR="00EF1063" w:rsidRPr="00843E20" w:rsidTr="00EF1063">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bottom w:val="nil"/>
              <w:right w:val="single" w:sz="4" w:space="0" w:color="FFFFFF" w:themeColor="background1"/>
            </w:tcBorders>
            <w:vAlign w:val="center"/>
          </w:tcPr>
          <w:p w:rsidR="00EF1063" w:rsidRPr="00CF6289" w:rsidRDefault="00EF1063" w:rsidP="00EF1063">
            <w:pPr>
              <w:pStyle w:val="07BAFUTabellelinks"/>
            </w:pPr>
            <w:bookmarkStart w:id="1" w:name="_GoBack"/>
            <w:r w:rsidRPr="00A9301F">
              <w:rPr>
                <w:color w:val="6C9051" w:themeColor="accent2" w:themeShade="BF"/>
              </w:rPr>
              <w:t>Datum</w:t>
            </w:r>
            <w:bookmarkEnd w:id="1"/>
          </w:p>
        </w:tc>
        <w:tc>
          <w:tcPr>
            <w:tcW w:w="7487" w:type="dxa"/>
            <w:tcBorders>
              <w:top w:val="nil"/>
              <w:bottom w:val="nil"/>
              <w:right w:val="single" w:sz="4" w:space="0" w:color="FFFFFF" w:themeColor="background1"/>
            </w:tcBorders>
          </w:tcPr>
          <w:p w:rsidR="00EF1063" w:rsidRPr="00CF6289" w:rsidRDefault="00EF1063" w:rsidP="00EF1063">
            <w:pPr>
              <w:pStyle w:val="07BAFUTabellelinks"/>
              <w:cnfStyle w:val="000000100000" w:firstRow="0" w:lastRow="0" w:firstColumn="0" w:lastColumn="0" w:oddVBand="0" w:evenVBand="0" w:oddHBand="1" w:evenHBand="0" w:firstRowFirstColumn="0" w:firstRowLastColumn="0" w:lastRowFirstColumn="0" w:lastRowLastColumn="0"/>
            </w:pPr>
          </w:p>
        </w:tc>
      </w:tr>
    </w:tbl>
    <w:p w:rsidR="00323F45" w:rsidRPr="004E03D2" w:rsidRDefault="00323F45" w:rsidP="005310EE">
      <w:pPr>
        <w:pStyle w:val="05BAFUGrundschriftAufzhlung"/>
        <w:numPr>
          <w:ilvl w:val="0"/>
          <w:numId w:val="0"/>
        </w:numPr>
      </w:pPr>
    </w:p>
    <w:sectPr w:rsidR="00323F45" w:rsidRPr="004E03D2" w:rsidSect="00423618">
      <w:pgSz w:w="11906" w:h="16838" w:code="9"/>
      <w:pgMar w:top="852" w:right="1021" w:bottom="794" w:left="1159" w:header="84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008" w:rsidRDefault="00CD6008" w:rsidP="00DE38F1">
      <w:pPr>
        <w:spacing w:after="0" w:line="240" w:lineRule="auto"/>
      </w:pPr>
      <w:r>
        <w:separator/>
      </w:r>
    </w:p>
  </w:endnote>
  <w:endnote w:type="continuationSeparator" w:id="0">
    <w:p w:rsidR="00CD6008" w:rsidRDefault="00CD600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Helvetica">
    <w:panose1 w:val="00000000000000000000"/>
    <w:charset w:val="00"/>
    <w:family w:val="swiss"/>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008" w:rsidRDefault="00CD6008" w:rsidP="00DE38F1">
      <w:pPr>
        <w:spacing w:after="0" w:line="240" w:lineRule="auto"/>
      </w:pPr>
    </w:p>
  </w:footnote>
  <w:footnote w:type="continuationSeparator" w:id="0">
    <w:p w:rsidR="00CD6008" w:rsidRDefault="00CD6008" w:rsidP="00DE38F1">
      <w:pPr>
        <w:spacing w:after="0" w:line="240" w:lineRule="auto"/>
      </w:pPr>
      <w:r>
        <w:continuationSeparator/>
      </w:r>
    </w:p>
  </w:footnote>
  <w:footnote w:id="1">
    <w:p w:rsidR="0042796B" w:rsidRPr="0042796B" w:rsidRDefault="0042796B" w:rsidP="0042796B">
      <w:pPr>
        <w:pStyle w:val="05BAFUFussnote"/>
      </w:pPr>
      <w:r>
        <w:rPr>
          <w:rStyle w:val="Funotenzeichen"/>
        </w:rPr>
        <w:footnoteRef/>
      </w:r>
      <w:r>
        <w:t xml:space="preserve"> </w:t>
      </w:r>
      <w:r w:rsidRPr="00D87649">
        <w:t>LVA-Code: Abfall-Code der Verordnung des UVEK vom 18. Oktober 2005 über Listen zum Verkehr mit Abfällen; SR 814.610.1</w:t>
      </w:r>
    </w:p>
  </w:footnote>
  <w:footnote w:id="2">
    <w:p w:rsidR="0042796B" w:rsidRPr="0042796B" w:rsidRDefault="0042796B" w:rsidP="0042796B">
      <w:pPr>
        <w:pStyle w:val="05BAFUFussnote"/>
      </w:pPr>
      <w:r>
        <w:rPr>
          <w:rStyle w:val="Funotenzeichen"/>
        </w:rPr>
        <w:footnoteRef/>
      </w:r>
      <w:r>
        <w:t xml:space="preserve"> </w:t>
      </w:r>
      <w:r w:rsidRPr="00D87649">
        <w:t>VG = Verpackungsgruppe</w:t>
      </w:r>
    </w:p>
  </w:footnote>
  <w:footnote w:id="3">
    <w:p w:rsidR="00F46CCD" w:rsidRPr="00A66A3D" w:rsidRDefault="00F46CCD" w:rsidP="00A66A3D">
      <w:pPr>
        <w:pStyle w:val="05BAFUFussnote"/>
      </w:pPr>
      <w:r w:rsidRPr="00A66A3D">
        <w:rPr>
          <w:rStyle w:val="Funotenzeichen"/>
          <w:vertAlign w:val="baseline"/>
        </w:rPr>
        <w:footnoteRef/>
      </w:r>
      <w:r w:rsidRPr="00A66A3D">
        <w:t xml:space="preserve"> Entstehen im Betrieb keine solchen Abfälle, kann das Kapitel vollständig weggelassen werden.</w:t>
      </w:r>
    </w:p>
  </w:footnote>
  <w:footnote w:id="4">
    <w:p w:rsidR="00F46CCD" w:rsidRPr="00A66A3D" w:rsidRDefault="00F46CCD" w:rsidP="00A66A3D">
      <w:pPr>
        <w:pStyle w:val="05BAFUFussnote"/>
      </w:pPr>
      <w:r w:rsidRPr="00A66A3D">
        <w:rPr>
          <w:rStyle w:val="Funotenzeichen"/>
          <w:vertAlign w:val="baseline"/>
        </w:rPr>
        <w:footnoteRef/>
      </w:r>
      <w:r w:rsidRPr="00A66A3D">
        <w:t xml:space="preserve"> Siehe dazu Seite 6 und 14ff der Empfehlung der EFBS zur Behandlung und Entsorgung von Abfällen in geschlossenen Systemen, 2009 (überarbeitet April 2017); Eidge</w:t>
      </w:r>
      <w:r w:rsidRPr="00A66A3D">
        <w:softHyphen/>
        <w:t xml:space="preserve">nössische Fachkommission für biologische Sicherheit, c/o Bundesamt für Umwelt, CH-3003 Bern; Bezug: </w:t>
      </w:r>
      <w:hyperlink r:id="rId1" w:history="1">
        <w:r w:rsidRPr="00375BEF">
          <w:rPr>
            <w:rStyle w:val="Hyperlink"/>
          </w:rPr>
          <w:t>https://www.efbs.admin.ch/inhalte/dokumentation/empfehlungen/Empfehlungen_aktuell/Abfall_EFBS_D.pdf</w:t>
        </w:r>
      </w:hyperlink>
    </w:p>
  </w:footnote>
  <w:footnote w:id="5">
    <w:p w:rsidR="00F46CCD" w:rsidRPr="00A66A3D" w:rsidRDefault="00F46CCD" w:rsidP="00A66A3D">
      <w:pPr>
        <w:pStyle w:val="05BAFUFussnote"/>
      </w:pPr>
      <w:r w:rsidRPr="00A66A3D">
        <w:rPr>
          <w:rStyle w:val="Funotenzeichen"/>
          <w:vertAlign w:val="baseline"/>
        </w:rPr>
        <w:footnoteRef/>
      </w:r>
      <w:r w:rsidRPr="00A66A3D">
        <w:t xml:space="preserve"> </w:t>
      </w:r>
      <w:r w:rsidR="00A66A3D" w:rsidRPr="00A66A3D">
        <w:t>Verordnung vom 22. Juni 2005 über den Verkehr mit Abfällen (</w:t>
      </w:r>
      <w:proofErr w:type="spellStart"/>
      <w:r w:rsidR="00A66A3D" w:rsidRPr="00A66A3D">
        <w:t>VeVA</w:t>
      </w:r>
      <w:proofErr w:type="spellEnd"/>
      <w:r w:rsidR="00A66A3D" w:rsidRPr="00A66A3D">
        <w:t xml:space="preserve">, SR 814.610) </w:t>
      </w:r>
      <w:r w:rsidR="00A66A3D" w:rsidRPr="00A66A3D">
        <w:br/>
        <w:t xml:space="preserve">Siehe dazu: </w:t>
      </w:r>
      <w:hyperlink r:id="rId2" w:history="1">
        <w:r w:rsidR="00A66A3D" w:rsidRPr="00A66A3D">
          <w:rPr>
            <w:rStyle w:val="Hyperlink"/>
            <w:i w:val="0"/>
          </w:rPr>
          <w:t>http://www.bafu.admin.ch/</w:t>
        </w:r>
      </w:hyperlink>
      <w:r w:rsidR="00A66A3D" w:rsidRPr="00A66A3D">
        <w:t xml:space="preserve">» </w:t>
      </w:r>
      <w:hyperlink r:id="rId3" w:history="1">
        <w:r w:rsidR="00A66A3D" w:rsidRPr="00A66A3D">
          <w:t>Themen</w:t>
        </w:r>
      </w:hyperlink>
      <w:r w:rsidR="00A66A3D" w:rsidRPr="00A66A3D">
        <w:t xml:space="preserve"> » </w:t>
      </w:r>
      <w:hyperlink r:id="rId4" w:history="1">
        <w:r w:rsidR="00A66A3D" w:rsidRPr="00A66A3D">
          <w:t>Abfall</w:t>
        </w:r>
      </w:hyperlink>
      <w:r w:rsidR="00A66A3D" w:rsidRPr="00A66A3D">
        <w:t xml:space="preserve"> » Rechtliche Grundlagen » Gesetze und Verordnungen</w:t>
      </w:r>
    </w:p>
  </w:footnote>
  <w:footnote w:id="6">
    <w:p w:rsidR="00F46CCD" w:rsidRPr="00A66A3D" w:rsidRDefault="00F46CCD" w:rsidP="00A66A3D">
      <w:pPr>
        <w:pStyle w:val="05BAFUFussnote"/>
      </w:pPr>
      <w:r w:rsidRPr="00A66A3D">
        <w:rPr>
          <w:rStyle w:val="Funotenzeichen"/>
          <w:vertAlign w:val="baseline"/>
        </w:rPr>
        <w:footnoteRef/>
      </w:r>
      <w:r w:rsidRPr="00A66A3D">
        <w:t xml:space="preserve"> </w:t>
      </w:r>
      <w:r w:rsidR="00A66A3D" w:rsidRPr="00A66A3D">
        <w:t>LVA-Code: Abfall-Code der Verordnung des UVEK vom 18. Oktober 2005 über Listen zum Verkehr mit Abfällen; SR 814.610.1</w:t>
      </w:r>
    </w:p>
  </w:footnote>
  <w:footnote w:id="7">
    <w:p w:rsidR="00A66A3D" w:rsidRPr="005310EE" w:rsidRDefault="00A66A3D" w:rsidP="00A66A3D">
      <w:pPr>
        <w:pStyle w:val="05BAFUFussnote"/>
        <w:rPr>
          <w:lang w:val="de-CH"/>
        </w:rPr>
      </w:pPr>
      <w:r w:rsidRPr="00A66A3D">
        <w:rPr>
          <w:rStyle w:val="Funotenzeichen"/>
          <w:vertAlign w:val="baseline"/>
        </w:rPr>
        <w:footnoteRef/>
      </w:r>
      <w:r w:rsidRPr="00A66A3D">
        <w:t xml:space="preserve"> VG = Verpackungsgruppe</w:t>
      </w:r>
    </w:p>
  </w:footnote>
  <w:footnote w:id="8">
    <w:p w:rsidR="00A66A3D" w:rsidRPr="00A66A3D" w:rsidRDefault="00A66A3D" w:rsidP="00A66A3D">
      <w:pPr>
        <w:pStyle w:val="05BAFUFussnote"/>
        <w:rPr>
          <w:lang w:val="de-CH"/>
        </w:rPr>
      </w:pPr>
      <w:r>
        <w:rPr>
          <w:rStyle w:val="Funotenzeichen"/>
        </w:rPr>
        <w:footnoteRef/>
      </w:r>
      <w:r>
        <w:t xml:space="preserve"> </w:t>
      </w:r>
      <w:r w:rsidRPr="00885EF0">
        <w:t>Entstehen im Betrieb keine tierischen Abfälle, kann das Kapitel vollständig weggelassen werden.</w:t>
      </w:r>
    </w:p>
  </w:footnote>
  <w:footnote w:id="9">
    <w:p w:rsidR="00BD470D" w:rsidRPr="00A66A3D" w:rsidRDefault="00BD470D" w:rsidP="00BD470D">
      <w:pPr>
        <w:pStyle w:val="05BAFUFussnote"/>
      </w:pPr>
      <w:r w:rsidRPr="00A66A3D">
        <w:rPr>
          <w:rStyle w:val="Funotenzeichen"/>
          <w:vertAlign w:val="baseline"/>
        </w:rPr>
        <w:footnoteRef/>
      </w:r>
      <w:r w:rsidRPr="00A66A3D">
        <w:t xml:space="preserve"> LVA-Code: Abfall-Code der Verordnung des UVEK vom 18. Oktober 2005 über Listen zum Verkehr mit Abfällen; SR 814.610.1</w:t>
      </w:r>
    </w:p>
  </w:footnote>
  <w:footnote w:id="10">
    <w:p w:rsidR="00993C56" w:rsidRPr="00993C56" w:rsidRDefault="00993C56" w:rsidP="00993C56">
      <w:pPr>
        <w:pStyle w:val="05BAFUFussnote"/>
        <w:rPr>
          <w:lang w:val="fr-CH"/>
        </w:rPr>
      </w:pPr>
      <w:r>
        <w:rPr>
          <w:rStyle w:val="Funotenzeichen"/>
        </w:rPr>
        <w:footnoteRef/>
      </w:r>
      <w:r>
        <w:t xml:space="preserve"> </w:t>
      </w:r>
      <w:r w:rsidRPr="00D87649">
        <w:t>VG = Verpackungsgruppe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C2" w:rsidRPr="005310EE" w:rsidRDefault="003A43C2" w:rsidP="005310EE">
    <w:pPr>
      <w:pStyle w:val="99BAFUKopfzeile"/>
      <w:rPr>
        <w:color w:val="auto"/>
      </w:rPr>
    </w:pPr>
    <w:r w:rsidRPr="005310EE">
      <w:rPr>
        <w:color w:val="auto"/>
      </w:rPr>
      <w:t>Anhang 1</w:t>
    </w:r>
    <w:r w:rsidR="00737F18" w:rsidRPr="005310EE">
      <w:rPr>
        <w:color w:val="auto"/>
      </w:rPr>
      <w:t>4</w:t>
    </w:r>
    <w:r w:rsidRPr="005310EE">
      <w:rPr>
        <w:color w:val="auto"/>
      </w:rPr>
      <w:t>. Betriebliches Sicherheitskonzept nach der Einschliessungsverordnung (ESV)</w:t>
    </w:r>
    <w:r w:rsidRPr="005310EE">
      <w:rPr>
        <w:rStyle w:val="99Kopfzeilegrau"/>
        <w:color w:val="auto"/>
      </w:rPr>
      <w:t xml:space="preserve"> </w:t>
    </w:r>
    <w:r w:rsidRPr="005310EE">
      <w:rPr>
        <w:rStyle w:val="99Kopfzeilegrau"/>
      </w:rPr>
      <w:t>© BAFU 2019</w:t>
    </w:r>
    <w:r w:rsidRPr="005310EE">
      <w:rPr>
        <w:color w:val="auto"/>
      </w:rPr>
      <w:tab/>
    </w:r>
    <w:r w:rsidRPr="005310EE">
      <w:rPr>
        <w:color w:val="auto"/>
      </w:rPr>
      <w:fldChar w:fldCharType="begin"/>
    </w:r>
    <w:r w:rsidRPr="005310EE">
      <w:rPr>
        <w:color w:val="auto"/>
      </w:rPr>
      <w:instrText>PAGE   \* MERGEFORMAT</w:instrText>
    </w:r>
    <w:r w:rsidRPr="005310EE">
      <w:rPr>
        <w:color w:val="auto"/>
      </w:rPr>
      <w:fldChar w:fldCharType="separate"/>
    </w:r>
    <w:r w:rsidR="005310EE">
      <w:rPr>
        <w:color w:val="auto"/>
      </w:rPr>
      <w:t>1</w:t>
    </w:r>
    <w:r w:rsidRPr="005310EE">
      <w:rPr>
        <w:color w:val="auto"/>
      </w:rPr>
      <w:fldChar w:fldCharType="end"/>
    </w:r>
  </w:p>
  <w:p w:rsidR="003A43C2" w:rsidRPr="00084994" w:rsidRDefault="003A43C2" w:rsidP="00423618">
    <w:pPr>
      <w:pStyle w:val="99BAFUSatzspiegellinie"/>
      <w:tabs>
        <w:tab w:val="clear" w:pos="9072"/>
        <w:tab w:val="left" w:pos="1038"/>
      </w:tabs>
    </w:pPr>
  </w:p>
  <w:p w:rsidR="003A43C2" w:rsidRDefault="003A43C2" w:rsidP="004236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C2" w:rsidRDefault="003A43C2" w:rsidP="000B52E9">
    <w:pPr>
      <w:pStyle w:val="Kopfzeile"/>
      <w:tabs>
        <w:tab w:val="clear" w:pos="9072"/>
        <w:tab w:val="right" w:pos="14742"/>
      </w:tabs>
    </w:pPr>
    <w:r>
      <w:rPr>
        <w:noProof/>
      </w:rPr>
      <w:t>Anhang 1</w:t>
    </w:r>
    <w:r w:rsidR="0088219E">
      <w:rPr>
        <w:noProof/>
      </w:rPr>
      <w:t>4</w:t>
    </w:r>
    <w:r>
      <w:rPr>
        <w:noProof/>
      </w:rPr>
      <w:t>. Betriebliches Sicherheitskonzept nach der Einschliessungsverordnung (ESV)</w:t>
    </w:r>
    <w:r w:rsidRPr="00BD7ACA">
      <w:rPr>
        <w:rStyle w:val="99Kopfzeilegrau"/>
      </w:rPr>
      <w:t xml:space="preserve"> © BAFU </w:t>
    </w:r>
    <w:r>
      <w:rPr>
        <w:rStyle w:val="99Kopfzeilegrau"/>
      </w:rPr>
      <w:t>2019</w:t>
    </w:r>
    <w:r>
      <w:tab/>
    </w:r>
    <w:r>
      <w:fldChar w:fldCharType="begin"/>
    </w:r>
    <w:r>
      <w:instrText>PAGE   \* MERGEFORMAT</w:instrText>
    </w:r>
    <w:r>
      <w:fldChar w:fldCharType="separate"/>
    </w:r>
    <w:r w:rsidR="005310EE">
      <w:rPr>
        <w:noProof/>
      </w:rPr>
      <w:t>4</w:t>
    </w:r>
    <w:r>
      <w:fldChar w:fldCharType="end"/>
    </w:r>
  </w:p>
  <w:p w:rsidR="003A43C2" w:rsidRPr="00084994" w:rsidRDefault="003A43C2" w:rsidP="00423618">
    <w:pPr>
      <w:pStyle w:val="99BAFUSatzspiegellinie"/>
      <w:tabs>
        <w:tab w:val="clear" w:pos="9072"/>
        <w:tab w:val="left" w:pos="2338"/>
      </w:tabs>
    </w:pPr>
  </w:p>
  <w:p w:rsidR="003A43C2" w:rsidRDefault="003A43C2" w:rsidP="004236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3" w15:restartNumberingAfterBreak="0">
    <w:nsid w:val="2A8618D9"/>
    <w:multiLevelType w:val="hybridMultilevel"/>
    <w:tmpl w:val="D5A25C10"/>
    <w:lvl w:ilvl="0" w:tplc="C26C30C4">
      <w:start w:val="1"/>
      <w:numFmt w:val="bullet"/>
      <w:pStyle w:val="05BAFUGrundschriftAufzhlun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6" w15:restartNumberingAfterBreak="0">
    <w:nsid w:val="7DE22146"/>
    <w:multiLevelType w:val="hybridMultilevel"/>
    <w:tmpl w:val="BAEC90EE"/>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 w:numId="8">
    <w:abstractNumId w:val="3"/>
  </w:num>
  <w:num w:numId="9">
    <w:abstractNumId w:val="6"/>
  </w:num>
  <w:num w:numId="10">
    <w:abstractNumId w:val="3"/>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attachedTemplate r:id="rId1"/>
  <w:stylePaneSortMethod w:val="00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68"/>
    <w:rsid w:val="00002B76"/>
    <w:rsid w:val="000159CF"/>
    <w:rsid w:val="0002726B"/>
    <w:rsid w:val="000508B2"/>
    <w:rsid w:val="000512CD"/>
    <w:rsid w:val="00054899"/>
    <w:rsid w:val="000568A8"/>
    <w:rsid w:val="000731DA"/>
    <w:rsid w:val="00077CC3"/>
    <w:rsid w:val="00084994"/>
    <w:rsid w:val="00087890"/>
    <w:rsid w:val="000904E5"/>
    <w:rsid w:val="000B52E9"/>
    <w:rsid w:val="000C7E51"/>
    <w:rsid w:val="000D6AEE"/>
    <w:rsid w:val="000E0AFD"/>
    <w:rsid w:val="000E452C"/>
    <w:rsid w:val="000E45B2"/>
    <w:rsid w:val="00114F0A"/>
    <w:rsid w:val="0011540C"/>
    <w:rsid w:val="00137A4D"/>
    <w:rsid w:val="0014129F"/>
    <w:rsid w:val="00141E0E"/>
    <w:rsid w:val="00151AA2"/>
    <w:rsid w:val="00153C5B"/>
    <w:rsid w:val="00153F00"/>
    <w:rsid w:val="00153F2E"/>
    <w:rsid w:val="001616BD"/>
    <w:rsid w:val="001651FF"/>
    <w:rsid w:val="00166B18"/>
    <w:rsid w:val="001710A2"/>
    <w:rsid w:val="00171342"/>
    <w:rsid w:val="00174045"/>
    <w:rsid w:val="001773BB"/>
    <w:rsid w:val="00194DC9"/>
    <w:rsid w:val="001A44A2"/>
    <w:rsid w:val="001B43F2"/>
    <w:rsid w:val="001C0228"/>
    <w:rsid w:val="001C1F8F"/>
    <w:rsid w:val="001C37D6"/>
    <w:rsid w:val="001C5CBC"/>
    <w:rsid w:val="001D5333"/>
    <w:rsid w:val="001D571F"/>
    <w:rsid w:val="001D5784"/>
    <w:rsid w:val="001E08D4"/>
    <w:rsid w:val="001E33A5"/>
    <w:rsid w:val="001F376D"/>
    <w:rsid w:val="001F3837"/>
    <w:rsid w:val="00203AE3"/>
    <w:rsid w:val="00206A92"/>
    <w:rsid w:val="0022112A"/>
    <w:rsid w:val="00252555"/>
    <w:rsid w:val="00256463"/>
    <w:rsid w:val="002677B6"/>
    <w:rsid w:val="00267CF3"/>
    <w:rsid w:val="00270A24"/>
    <w:rsid w:val="00276DDF"/>
    <w:rsid w:val="00284FE3"/>
    <w:rsid w:val="00286B19"/>
    <w:rsid w:val="002A0483"/>
    <w:rsid w:val="002B0862"/>
    <w:rsid w:val="002C7AD1"/>
    <w:rsid w:val="002E6D7E"/>
    <w:rsid w:val="002F1914"/>
    <w:rsid w:val="00303E74"/>
    <w:rsid w:val="0030499A"/>
    <w:rsid w:val="00312C36"/>
    <w:rsid w:val="003176A2"/>
    <w:rsid w:val="00323F45"/>
    <w:rsid w:val="00340CA8"/>
    <w:rsid w:val="00342FD2"/>
    <w:rsid w:val="00345392"/>
    <w:rsid w:val="00350EB3"/>
    <w:rsid w:val="00355384"/>
    <w:rsid w:val="003565E8"/>
    <w:rsid w:val="003741F7"/>
    <w:rsid w:val="003746C6"/>
    <w:rsid w:val="00375BEF"/>
    <w:rsid w:val="0037648C"/>
    <w:rsid w:val="003766B9"/>
    <w:rsid w:val="00392765"/>
    <w:rsid w:val="003A2FCE"/>
    <w:rsid w:val="003A43C2"/>
    <w:rsid w:val="003A597F"/>
    <w:rsid w:val="003B6705"/>
    <w:rsid w:val="003D6F38"/>
    <w:rsid w:val="003E0730"/>
    <w:rsid w:val="003F215E"/>
    <w:rsid w:val="00423368"/>
    <w:rsid w:val="00423618"/>
    <w:rsid w:val="0042796B"/>
    <w:rsid w:val="00456CCB"/>
    <w:rsid w:val="00463452"/>
    <w:rsid w:val="00465964"/>
    <w:rsid w:val="004719B0"/>
    <w:rsid w:val="00490C6C"/>
    <w:rsid w:val="004B4476"/>
    <w:rsid w:val="004B7112"/>
    <w:rsid w:val="004C0384"/>
    <w:rsid w:val="004C4B1D"/>
    <w:rsid w:val="004E03D2"/>
    <w:rsid w:val="004E5C57"/>
    <w:rsid w:val="004E7EAC"/>
    <w:rsid w:val="004F374B"/>
    <w:rsid w:val="004F44ED"/>
    <w:rsid w:val="00505D36"/>
    <w:rsid w:val="0051314B"/>
    <w:rsid w:val="00526A0C"/>
    <w:rsid w:val="005310EE"/>
    <w:rsid w:val="005413E3"/>
    <w:rsid w:val="00546E75"/>
    <w:rsid w:val="00555CC1"/>
    <w:rsid w:val="00570D73"/>
    <w:rsid w:val="00573B63"/>
    <w:rsid w:val="00590EFB"/>
    <w:rsid w:val="00592236"/>
    <w:rsid w:val="005936E6"/>
    <w:rsid w:val="00597917"/>
    <w:rsid w:val="005A2236"/>
    <w:rsid w:val="005A2AD0"/>
    <w:rsid w:val="005B2F37"/>
    <w:rsid w:val="005B4E5A"/>
    <w:rsid w:val="005C4B31"/>
    <w:rsid w:val="005D4790"/>
    <w:rsid w:val="005D54DA"/>
    <w:rsid w:val="005F1E57"/>
    <w:rsid w:val="005F66F3"/>
    <w:rsid w:val="0060561E"/>
    <w:rsid w:val="00615917"/>
    <w:rsid w:val="00620125"/>
    <w:rsid w:val="00624E5D"/>
    <w:rsid w:val="0062603E"/>
    <w:rsid w:val="00626941"/>
    <w:rsid w:val="00632CAC"/>
    <w:rsid w:val="00636073"/>
    <w:rsid w:val="00640683"/>
    <w:rsid w:val="006555AB"/>
    <w:rsid w:val="00656D20"/>
    <w:rsid w:val="00656E64"/>
    <w:rsid w:val="00662AEE"/>
    <w:rsid w:val="00667DD8"/>
    <w:rsid w:val="00671704"/>
    <w:rsid w:val="00673184"/>
    <w:rsid w:val="00675961"/>
    <w:rsid w:val="0068153F"/>
    <w:rsid w:val="006822CA"/>
    <w:rsid w:val="00683C22"/>
    <w:rsid w:val="0068661A"/>
    <w:rsid w:val="006A2B0C"/>
    <w:rsid w:val="006B4642"/>
    <w:rsid w:val="006E1D49"/>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26F"/>
    <w:rsid w:val="007313BE"/>
    <w:rsid w:val="007329FD"/>
    <w:rsid w:val="00734F2C"/>
    <w:rsid w:val="00737F18"/>
    <w:rsid w:val="0074070B"/>
    <w:rsid w:val="0074451B"/>
    <w:rsid w:val="00763C01"/>
    <w:rsid w:val="00763EC0"/>
    <w:rsid w:val="007657BC"/>
    <w:rsid w:val="007669E5"/>
    <w:rsid w:val="00784F1A"/>
    <w:rsid w:val="0079704F"/>
    <w:rsid w:val="007A2A66"/>
    <w:rsid w:val="007A4B64"/>
    <w:rsid w:val="007B0F69"/>
    <w:rsid w:val="007B3F2C"/>
    <w:rsid w:val="007B48BE"/>
    <w:rsid w:val="007C15F5"/>
    <w:rsid w:val="007C375B"/>
    <w:rsid w:val="007D348C"/>
    <w:rsid w:val="007D383C"/>
    <w:rsid w:val="007D51FC"/>
    <w:rsid w:val="007E7634"/>
    <w:rsid w:val="007F5163"/>
    <w:rsid w:val="0080534A"/>
    <w:rsid w:val="0082067C"/>
    <w:rsid w:val="00821FE4"/>
    <w:rsid w:val="00824DEE"/>
    <w:rsid w:val="008263A1"/>
    <w:rsid w:val="00830F17"/>
    <w:rsid w:val="00832475"/>
    <w:rsid w:val="00832A96"/>
    <w:rsid w:val="008342B2"/>
    <w:rsid w:val="008347FA"/>
    <w:rsid w:val="0083754E"/>
    <w:rsid w:val="00840AB7"/>
    <w:rsid w:val="0085003C"/>
    <w:rsid w:val="00852AF0"/>
    <w:rsid w:val="00855F6B"/>
    <w:rsid w:val="0088219E"/>
    <w:rsid w:val="008862D6"/>
    <w:rsid w:val="00895250"/>
    <w:rsid w:val="008B03E6"/>
    <w:rsid w:val="008D6A8F"/>
    <w:rsid w:val="008E1175"/>
    <w:rsid w:val="008E2F9D"/>
    <w:rsid w:val="00902C57"/>
    <w:rsid w:val="009071AD"/>
    <w:rsid w:val="00912EEC"/>
    <w:rsid w:val="00915D5B"/>
    <w:rsid w:val="00916073"/>
    <w:rsid w:val="0091784A"/>
    <w:rsid w:val="009212AF"/>
    <w:rsid w:val="009365F9"/>
    <w:rsid w:val="00942F12"/>
    <w:rsid w:val="0095210C"/>
    <w:rsid w:val="0097236B"/>
    <w:rsid w:val="00972829"/>
    <w:rsid w:val="00976A40"/>
    <w:rsid w:val="00983B25"/>
    <w:rsid w:val="00984E0B"/>
    <w:rsid w:val="00993C56"/>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49D8"/>
    <w:rsid w:val="00A14E83"/>
    <w:rsid w:val="00A16472"/>
    <w:rsid w:val="00A2294E"/>
    <w:rsid w:val="00A23AAB"/>
    <w:rsid w:val="00A255F2"/>
    <w:rsid w:val="00A318BE"/>
    <w:rsid w:val="00A36765"/>
    <w:rsid w:val="00A6017D"/>
    <w:rsid w:val="00A60378"/>
    <w:rsid w:val="00A66A3D"/>
    <w:rsid w:val="00A72158"/>
    <w:rsid w:val="00A82010"/>
    <w:rsid w:val="00A84F32"/>
    <w:rsid w:val="00A9301F"/>
    <w:rsid w:val="00A97A6B"/>
    <w:rsid w:val="00AB39EF"/>
    <w:rsid w:val="00AC2BB5"/>
    <w:rsid w:val="00AC4985"/>
    <w:rsid w:val="00AD2418"/>
    <w:rsid w:val="00AE0E53"/>
    <w:rsid w:val="00AE2978"/>
    <w:rsid w:val="00AE55DC"/>
    <w:rsid w:val="00AF3C5E"/>
    <w:rsid w:val="00B16A2C"/>
    <w:rsid w:val="00B17637"/>
    <w:rsid w:val="00B21758"/>
    <w:rsid w:val="00B319B1"/>
    <w:rsid w:val="00B325D1"/>
    <w:rsid w:val="00B40C53"/>
    <w:rsid w:val="00B63EAC"/>
    <w:rsid w:val="00B72F99"/>
    <w:rsid w:val="00B87B03"/>
    <w:rsid w:val="00B91E01"/>
    <w:rsid w:val="00B95429"/>
    <w:rsid w:val="00B95729"/>
    <w:rsid w:val="00BB0408"/>
    <w:rsid w:val="00BB2C13"/>
    <w:rsid w:val="00BC08C8"/>
    <w:rsid w:val="00BC1ED8"/>
    <w:rsid w:val="00BD470D"/>
    <w:rsid w:val="00BD5E73"/>
    <w:rsid w:val="00BD7ACA"/>
    <w:rsid w:val="00BE4C60"/>
    <w:rsid w:val="00BF0385"/>
    <w:rsid w:val="00BF185C"/>
    <w:rsid w:val="00BF5276"/>
    <w:rsid w:val="00C030CC"/>
    <w:rsid w:val="00C06D65"/>
    <w:rsid w:val="00C249F0"/>
    <w:rsid w:val="00C40A0B"/>
    <w:rsid w:val="00C562AD"/>
    <w:rsid w:val="00C603A6"/>
    <w:rsid w:val="00C64A62"/>
    <w:rsid w:val="00C71A5D"/>
    <w:rsid w:val="00C732B1"/>
    <w:rsid w:val="00C73B33"/>
    <w:rsid w:val="00C76B89"/>
    <w:rsid w:val="00C81D31"/>
    <w:rsid w:val="00C86541"/>
    <w:rsid w:val="00CA7010"/>
    <w:rsid w:val="00CB5B6D"/>
    <w:rsid w:val="00CC0951"/>
    <w:rsid w:val="00CC1A82"/>
    <w:rsid w:val="00CC6A37"/>
    <w:rsid w:val="00CD6008"/>
    <w:rsid w:val="00CE6B13"/>
    <w:rsid w:val="00CF4C7D"/>
    <w:rsid w:val="00CF6289"/>
    <w:rsid w:val="00CF7E2C"/>
    <w:rsid w:val="00D02888"/>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D5049"/>
    <w:rsid w:val="00DE38F1"/>
    <w:rsid w:val="00DE4CF2"/>
    <w:rsid w:val="00DF10B8"/>
    <w:rsid w:val="00E01811"/>
    <w:rsid w:val="00E03B46"/>
    <w:rsid w:val="00E17847"/>
    <w:rsid w:val="00E3414A"/>
    <w:rsid w:val="00E40A11"/>
    <w:rsid w:val="00E4541E"/>
    <w:rsid w:val="00E45DD9"/>
    <w:rsid w:val="00E4708D"/>
    <w:rsid w:val="00E477CC"/>
    <w:rsid w:val="00E517EA"/>
    <w:rsid w:val="00E56938"/>
    <w:rsid w:val="00E57B38"/>
    <w:rsid w:val="00E7245F"/>
    <w:rsid w:val="00E76A19"/>
    <w:rsid w:val="00E81548"/>
    <w:rsid w:val="00E96286"/>
    <w:rsid w:val="00EA3E4B"/>
    <w:rsid w:val="00EA4E63"/>
    <w:rsid w:val="00EC03F3"/>
    <w:rsid w:val="00EC4066"/>
    <w:rsid w:val="00ED6F44"/>
    <w:rsid w:val="00ED7710"/>
    <w:rsid w:val="00ED789D"/>
    <w:rsid w:val="00EE022D"/>
    <w:rsid w:val="00EF1063"/>
    <w:rsid w:val="00EF3BDB"/>
    <w:rsid w:val="00F04BA4"/>
    <w:rsid w:val="00F05162"/>
    <w:rsid w:val="00F06554"/>
    <w:rsid w:val="00F10543"/>
    <w:rsid w:val="00F21441"/>
    <w:rsid w:val="00F325C1"/>
    <w:rsid w:val="00F336DA"/>
    <w:rsid w:val="00F3466A"/>
    <w:rsid w:val="00F46CCD"/>
    <w:rsid w:val="00F57024"/>
    <w:rsid w:val="00F61017"/>
    <w:rsid w:val="00F63A80"/>
    <w:rsid w:val="00F71844"/>
    <w:rsid w:val="00F832E0"/>
    <w:rsid w:val="00F9380F"/>
    <w:rsid w:val="00F96B94"/>
    <w:rsid w:val="00FA4C27"/>
    <w:rsid w:val="00FA5113"/>
    <w:rsid w:val="00FB0BA4"/>
    <w:rsid w:val="00FB0E30"/>
    <w:rsid w:val="00FC3FD5"/>
    <w:rsid w:val="00FC4611"/>
    <w:rsid w:val="00FC6C30"/>
    <w:rsid w:val="00FD024C"/>
    <w:rsid w:val="00FD2B6A"/>
    <w:rsid w:val="00FE0F73"/>
    <w:rsid w:val="00FE68A5"/>
    <w:rsid w:val="00FF2201"/>
    <w:rsid w:val="00FF3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2"/>
      </w:numPr>
    </w:pPr>
  </w:style>
  <w:style w:type="paragraph" w:customStyle="1" w:styleId="02BAFUTitelnummeriert">
    <w:name w:val="02_BAFU_Titel_nummeriert"/>
    <w:basedOn w:val="Standard"/>
    <w:qFormat/>
    <w:rsid w:val="00EC4066"/>
    <w:pPr>
      <w:numPr>
        <w:numId w:val="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1"/>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3"/>
      </w:numPr>
      <w:ind w:left="199" w:hanging="199"/>
    </w:pPr>
  </w:style>
  <w:style w:type="paragraph" w:customStyle="1" w:styleId="05BAFUGrundschriftAufzhlung">
    <w:name w:val="05_BAFU_Grundschrift Aufzählung"/>
    <w:basedOn w:val="05BAFUGrundschriftAufzhlungletzte"/>
    <w:qFormat/>
    <w:rsid w:val="00AE2978"/>
    <w:pPr>
      <w:numPr>
        <w:numId w:val="7"/>
      </w:numPr>
      <w:spacing w:after="0"/>
    </w:pPr>
  </w:style>
  <w:style w:type="paragraph" w:customStyle="1" w:styleId="05BAFUGrundschriftAufzhlung2Hierarchie">
    <w:name w:val="05_BAFU_Grundschrift Aufzählung 2. Hierarchie"/>
    <w:basedOn w:val="05BAFUGrundschriftAufzhlung"/>
    <w:qFormat/>
    <w:rsid w:val="009E4826"/>
    <w:pPr>
      <w:numPr>
        <w:ilvl w:val="1"/>
        <w:numId w:val="4"/>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5"/>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 w:type="paragraph" w:customStyle="1" w:styleId="Tabelle">
    <w:name w:val="Tabelle"/>
    <w:basedOn w:val="Standard"/>
    <w:rsid w:val="00824DEE"/>
    <w:pPr>
      <w:tabs>
        <w:tab w:val="left" w:pos="567"/>
      </w:tabs>
      <w:spacing w:before="20" w:after="20" w:line="240" w:lineRule="atLeast"/>
      <w:ind w:left="57" w:right="57"/>
    </w:pPr>
    <w:rPr>
      <w:rFonts w:ascii="Arial" w:eastAsia="Times New Roman" w:hAnsi="Arial" w:cs="Times New Roman"/>
      <w:sz w:val="18"/>
      <w:szCs w:val="20"/>
      <w:lang w:val="de-DE" w:eastAsia="de-DE"/>
    </w:rPr>
  </w:style>
  <w:style w:type="paragraph" w:customStyle="1" w:styleId="Erluterung1">
    <w:name w:val="Erläuterung 1"/>
    <w:basedOn w:val="Kopfzeile"/>
    <w:rsid w:val="00C249F0"/>
    <w:pPr>
      <w:tabs>
        <w:tab w:val="clear" w:pos="9072"/>
        <w:tab w:val="right" w:pos="8505"/>
      </w:tabs>
      <w:spacing w:line="280" w:lineRule="atLeast"/>
    </w:pPr>
    <w:rPr>
      <w:rFonts w:ascii="Helvetica" w:eastAsia="Times" w:hAnsi="Helvetica" w:cs="Times New Roman"/>
      <w:i/>
      <w:smallCaps/>
      <w:color w:val="00808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mwelt-schweiz.ch/buwal/de/fachgebiete/index.html" TargetMode="External"/><Relationship Id="rId2" Type="http://schemas.openxmlformats.org/officeDocument/2006/relationships/hyperlink" Target="http://www.bafu.admin.ch/" TargetMode="External"/><Relationship Id="rId1" Type="http://schemas.openxmlformats.org/officeDocument/2006/relationships/hyperlink" Target="https://www.efbs.admin.ch/inhalte/dokumentation/empfehlungen/Empfehlungen_aktuell/Abfall_EFBS_D.pdf" TargetMode="External"/><Relationship Id="rId4" Type="http://schemas.openxmlformats.org/officeDocument/2006/relationships/hyperlink" Target="http://www.umwelt-schweiz.ch/buwal/de/fachgebiete/fg_abfal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842815\Downloads\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6D29-81FD-7144-9495-D10B0557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C:\Users\U80842815\Downloads\VORL_Anhang_ESV.dotx</Template>
  <TotalTime>0</TotalTime>
  <Pages>5</Pages>
  <Words>1250</Words>
  <Characters>7882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Cavelit AG</cp:lastModifiedBy>
  <cp:revision>141</cp:revision>
  <cp:lastPrinted>2019-09-05T12:42:00Z</cp:lastPrinted>
  <dcterms:created xsi:type="dcterms:W3CDTF">2019-10-02T15:58:00Z</dcterms:created>
  <dcterms:modified xsi:type="dcterms:W3CDTF">2020-02-04T15:44:00Z</dcterms:modified>
</cp:coreProperties>
</file>