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AC275F" w:rsidRDefault="00AC275F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AC275F">
        <w:rPr>
          <w:color w:val="B6BDBB"/>
          <w:lang w:val="it-CH"/>
        </w:rPr>
        <w:t>Allegato</w:t>
      </w:r>
      <w:r w:rsidR="009E4C68" w:rsidRPr="00AC275F">
        <w:rPr>
          <w:color w:val="B6BDBB"/>
          <w:lang w:val="it-CH"/>
        </w:rPr>
        <w:t xml:space="preserve"> </w:t>
      </w:r>
      <w:r w:rsidR="00DD5049" w:rsidRPr="00AC275F">
        <w:rPr>
          <w:color w:val="B6BDBB"/>
          <w:lang w:val="it-CH"/>
        </w:rPr>
        <w:t>8</w:t>
      </w:r>
      <w:r w:rsidR="009E4C68" w:rsidRPr="00AC275F">
        <w:rPr>
          <w:lang w:val="it-CH"/>
        </w:rPr>
        <w:t xml:space="preserve"> </w:t>
      </w:r>
      <w:r w:rsidR="009E4C68" w:rsidRPr="00AC275F">
        <w:rPr>
          <w:lang w:val="it-CH"/>
        </w:rPr>
        <w:br/>
      </w:r>
      <w:bookmarkEnd w:id="0"/>
      <w:r w:rsidRPr="00AC275F">
        <w:rPr>
          <w:bCs/>
          <w:lang w:val="it-IT"/>
        </w:rPr>
        <w:t>Significato e impiego del segnale di rischio biologico</w:t>
      </w:r>
    </w:p>
    <w:p w:rsidR="00AC275F" w:rsidRPr="00AC275F" w:rsidRDefault="00AC275F" w:rsidP="00AC275F">
      <w:pPr>
        <w:pStyle w:val="05BAFUGrundschriftAufzhlung2Hierarchie"/>
        <w:numPr>
          <w:ilvl w:val="0"/>
          <w:numId w:val="0"/>
        </w:numPr>
        <w:rPr>
          <w:rFonts w:ascii="Times New Roman" w:hAnsi="Times New Roman" w:cs="Times New Roman"/>
          <w:i/>
          <w:lang w:val="it-IT"/>
        </w:rPr>
      </w:pPr>
      <w:r w:rsidRPr="00AC275F">
        <w:rPr>
          <w:rFonts w:ascii="Times New Roman" w:hAnsi="Times New Roman" w:cs="Times New Roman"/>
          <w:i/>
          <w:lang w:val="it-IT"/>
        </w:rPr>
        <w:t>Il presente modello va adeguato alla realtà aziendale.</w:t>
      </w:r>
    </w:p>
    <w:p w:rsidR="00570D73" w:rsidRPr="00AC275F" w:rsidRDefault="00570D73" w:rsidP="00546E75">
      <w:pPr>
        <w:pStyle w:val="05BAFUGrundschriftAufzhlung2Hierarchie"/>
        <w:numPr>
          <w:ilvl w:val="0"/>
          <w:numId w:val="0"/>
        </w:numPr>
        <w:rPr>
          <w:lang w:val="it-IT"/>
        </w:rPr>
      </w:pPr>
    </w:p>
    <w:p w:rsidR="004C0384" w:rsidRDefault="00AC275F" w:rsidP="00BF185C">
      <w:pPr>
        <w:pStyle w:val="02BAFUTitelnummeriert"/>
      </w:pPr>
      <w:r w:rsidRPr="00AC275F">
        <w:rPr>
          <w:lang w:val="it-IT"/>
        </w:rPr>
        <w:t>Scopo</w:t>
      </w:r>
    </w:p>
    <w:p w:rsidR="00AC275F" w:rsidRPr="00D75C30" w:rsidRDefault="00AC275F" w:rsidP="00AC275F">
      <w:pPr>
        <w:pStyle w:val="05BAFUGrundschrift"/>
        <w:rPr>
          <w:rFonts w:ascii="Times New Roman" w:hAnsi="Times New Roman"/>
          <w:lang w:val="it-IT"/>
        </w:rPr>
      </w:pPr>
      <w:r w:rsidRPr="00D75C30">
        <w:rPr>
          <w:lang w:val="it-IT"/>
        </w:rPr>
        <w:t xml:space="preserve">Il segnale d’avvertimento «Rischio biologico» mette in guardia gli operatori sui rischi legati agli organismi patogeni o geneticamente modificati del </w:t>
      </w:r>
      <w:r w:rsidRPr="00AC275F">
        <w:rPr>
          <w:b/>
          <w:lang w:val="it-IT"/>
        </w:rPr>
        <w:t>gruppo 2</w:t>
      </w:r>
      <w:r w:rsidRPr="00D75C30">
        <w:rPr>
          <w:lang w:val="it-IT"/>
        </w:rPr>
        <w:t xml:space="preserve"> </w:t>
      </w:r>
      <w:r>
        <w:rPr>
          <w:lang w:val="it-IT"/>
        </w:rPr>
        <w:t xml:space="preserve">(e superiori) </w:t>
      </w:r>
      <w:r w:rsidRPr="00D75C30">
        <w:rPr>
          <w:lang w:val="it-IT"/>
        </w:rPr>
        <w:t>e mira a ridurre la dispersione o la riproduzione incontrollata di organismi nonché a proteggere le persone da infezioni accidentali</w:t>
      </w:r>
      <w:r w:rsidRPr="00D75C30">
        <w:rPr>
          <w:rStyle w:val="Funotenzeichen"/>
          <w:rFonts w:ascii="Times New Roman" w:hAnsi="Times New Roman"/>
          <w:lang w:val="it-IT"/>
        </w:rPr>
        <w:footnoteReference w:id="1"/>
      </w:r>
      <w:r w:rsidRPr="00D75C30">
        <w:rPr>
          <w:lang w:val="it-IT"/>
        </w:rPr>
        <w:t>.</w:t>
      </w:r>
    </w:p>
    <w:p w:rsidR="00AC275F" w:rsidRPr="00AC275F" w:rsidRDefault="00AC275F" w:rsidP="00AC275F">
      <w:pPr>
        <w:pStyle w:val="05BAFUGrundschrift"/>
        <w:rPr>
          <w:rFonts w:ascii="Times New Roman" w:hAnsi="Times New Roman"/>
          <w:lang w:val="it-IT"/>
        </w:rPr>
      </w:pPr>
      <w:r w:rsidRPr="00AC275F">
        <w:rPr>
          <w:lang w:val="it-IT"/>
        </w:rPr>
        <w:t>Il segnale d’avvertimento è destinato a tre gruppi distinti di persone e ha le seguenti finalità:</w:t>
      </w:r>
    </w:p>
    <w:p w:rsidR="00DD5049" w:rsidRPr="00AC275F" w:rsidRDefault="00AC275F" w:rsidP="00DD5049">
      <w:pPr>
        <w:pStyle w:val="05BAFUGrundschriftAufzhlung"/>
        <w:numPr>
          <w:ilvl w:val="0"/>
          <w:numId w:val="35"/>
        </w:numPr>
        <w:rPr>
          <w:lang w:val="it-CH"/>
        </w:rPr>
      </w:pPr>
      <w:r w:rsidRPr="00AC275F">
        <w:rPr>
          <w:lang w:val="it-IT"/>
        </w:rPr>
        <w:t>rammenta ai collaboratori che in un determinato settore di lavoro vi sono organismi infettivi ed esiste un rischio di contaminazione;</w:t>
      </w:r>
    </w:p>
    <w:p w:rsidR="00DD5049" w:rsidRPr="00AC275F" w:rsidRDefault="00AC275F" w:rsidP="00DD5049">
      <w:pPr>
        <w:pStyle w:val="05BAFUGrundschriftAufzhlung"/>
        <w:numPr>
          <w:ilvl w:val="0"/>
          <w:numId w:val="35"/>
        </w:numPr>
        <w:rPr>
          <w:lang w:val="it-CH"/>
        </w:rPr>
      </w:pPr>
      <w:r w:rsidRPr="00AC275F">
        <w:rPr>
          <w:lang w:val="it-IT"/>
        </w:rPr>
        <w:t>avverte il personale non specializzato di non entrare nel settore di lavoro contrassegnato o di non toccare gli apparecchi e i contenitori contrassegnati;</w:t>
      </w:r>
    </w:p>
    <w:p w:rsidR="00DD5049" w:rsidRPr="00AC275F" w:rsidRDefault="00AC275F" w:rsidP="00DD5049">
      <w:pPr>
        <w:pStyle w:val="05BAFUGrundschriftAufzhlung"/>
        <w:numPr>
          <w:ilvl w:val="0"/>
          <w:numId w:val="35"/>
        </w:numPr>
        <w:rPr>
          <w:b/>
          <w:noProof w:val="0"/>
          <w:sz w:val="24"/>
          <w:szCs w:val="24"/>
          <w:lang w:val="it-CH" w:eastAsia="en-US"/>
        </w:rPr>
      </w:pPr>
      <w:r w:rsidRPr="00AC275F">
        <w:rPr>
          <w:lang w:val="it-IT"/>
        </w:rPr>
        <w:t>indica ai servizi di pronto intervento le misure di protezione da adottare</w:t>
      </w:r>
      <w:r w:rsidRPr="00AC275F">
        <w:rPr>
          <w:vertAlign w:val="superscript"/>
          <w:lang w:val="it-IT"/>
        </w:rPr>
        <w:footnoteReference w:id="2"/>
      </w:r>
      <w:r w:rsidRPr="00AC275F">
        <w:rPr>
          <w:lang w:val="it-IT"/>
        </w:rPr>
        <w:t>.</w:t>
      </w:r>
    </w:p>
    <w:p w:rsidR="00DD5049" w:rsidRPr="00AC275F" w:rsidRDefault="00DD5049" w:rsidP="00DD5049">
      <w:pPr>
        <w:pStyle w:val="02BAFUTitelnummeriert"/>
        <w:numPr>
          <w:ilvl w:val="0"/>
          <w:numId w:val="0"/>
        </w:numPr>
        <w:ind w:left="357"/>
        <w:rPr>
          <w:lang w:val="it-CH"/>
        </w:rPr>
      </w:pPr>
    </w:p>
    <w:p w:rsidR="001710A2" w:rsidRPr="001710A2" w:rsidRDefault="00AC275F" w:rsidP="001710A2">
      <w:pPr>
        <w:pStyle w:val="02BAFUTitelnummeriert"/>
        <w:rPr>
          <w:noProof/>
          <w:sz w:val="20"/>
          <w:szCs w:val="20"/>
          <w:lang w:eastAsia="de-CH"/>
        </w:rPr>
      </w:pPr>
      <w:r w:rsidRPr="00AC275F">
        <w:rPr>
          <w:lang w:val="it-IT"/>
        </w:rPr>
        <w:t>Principi d’impiego</w:t>
      </w:r>
    </w:p>
    <w:p w:rsidR="001710A2" w:rsidRPr="00AC275F" w:rsidRDefault="00AC275F" w:rsidP="001710A2">
      <w:pPr>
        <w:pStyle w:val="05BAFUGrundschrift"/>
        <w:rPr>
          <w:lang w:val="it-CH"/>
        </w:rPr>
      </w:pPr>
      <w:r w:rsidRPr="00AC275F">
        <w:rPr>
          <w:lang w:val="it-IT"/>
        </w:rPr>
        <w:t xml:space="preserve">Nell’esporre il segnale di rischio biologico l’azienda </w:t>
      </w:r>
      <w:r w:rsidRPr="00AC275F">
        <w:rPr>
          <w:iCs/>
          <w:color w:val="FF0000"/>
          <w:lang w:val="it-IT"/>
        </w:rPr>
        <w:t>(Nome dell’azienda)</w:t>
      </w:r>
      <w:r w:rsidRPr="00AC275F">
        <w:rPr>
          <w:color w:val="FF0000"/>
          <w:lang w:val="it-IT"/>
        </w:rPr>
        <w:t xml:space="preserve"> </w:t>
      </w:r>
      <w:r w:rsidRPr="00AC275F">
        <w:rPr>
          <w:lang w:val="it-IT"/>
        </w:rPr>
        <w:t>osserva i seguenti principi:</w:t>
      </w:r>
    </w:p>
    <w:p w:rsidR="001710A2" w:rsidRPr="00AC275F" w:rsidRDefault="00AC275F" w:rsidP="001710A2">
      <w:pPr>
        <w:pStyle w:val="05BAFUGrundschriftAufzhlung"/>
        <w:numPr>
          <w:ilvl w:val="0"/>
          <w:numId w:val="40"/>
        </w:numPr>
        <w:rPr>
          <w:lang w:val="it-CH"/>
        </w:rPr>
      </w:pPr>
      <w:r w:rsidRPr="00AC275F">
        <w:rPr>
          <w:lang w:val="it-IT"/>
        </w:rPr>
        <w:t>Affinché conservi il suo effetto d’avvertimento, il segnale va affisso solo dove necessario.</w:t>
      </w:r>
    </w:p>
    <w:p w:rsidR="001710A2" w:rsidRPr="00AC275F" w:rsidRDefault="00AC275F" w:rsidP="001710A2">
      <w:pPr>
        <w:pStyle w:val="05BAFUGrundschriftAufzhlung"/>
        <w:numPr>
          <w:ilvl w:val="0"/>
          <w:numId w:val="40"/>
        </w:numPr>
        <w:rPr>
          <w:lang w:val="it-CH"/>
        </w:rPr>
      </w:pPr>
      <w:r w:rsidRPr="00AC275F">
        <w:rPr>
          <w:lang w:val="it-IT"/>
        </w:rPr>
        <w:t>Il segnale va affisso sulle porte dei laboratori di livello 2.</w:t>
      </w:r>
    </w:p>
    <w:p w:rsidR="001710A2" w:rsidRPr="00AC275F" w:rsidRDefault="00AC275F" w:rsidP="001710A2">
      <w:pPr>
        <w:pStyle w:val="05BAFUGrundschriftAufzhlung"/>
        <w:numPr>
          <w:ilvl w:val="0"/>
          <w:numId w:val="40"/>
        </w:numPr>
        <w:rPr>
          <w:lang w:val="it-CH"/>
        </w:rPr>
      </w:pPr>
      <w:r w:rsidRPr="00AC275F">
        <w:rPr>
          <w:lang w:val="it-IT"/>
        </w:rPr>
        <w:t xml:space="preserve">Il segnale va apposto anche su apparecchi (ad es. incubatori) o nei settori di lavoro </w:t>
      </w:r>
      <w:r w:rsidRPr="00AC275F">
        <w:rPr>
          <w:u w:val="single"/>
          <w:lang w:val="it-IT"/>
        </w:rPr>
        <w:t>all’interno</w:t>
      </w:r>
      <w:r w:rsidRPr="00AC275F">
        <w:rPr>
          <w:lang w:val="it-IT"/>
        </w:rPr>
        <w:t xml:space="preserve"> di un locale contrassegnato qualora vi sia un rischio biologico maggiore </w:t>
      </w:r>
      <w:r w:rsidRPr="00AC275F">
        <w:rPr>
          <w:u w:val="single"/>
          <w:lang w:val="it-IT"/>
        </w:rPr>
        <w:t>rispetto</w:t>
      </w:r>
      <w:r w:rsidRPr="00AC275F">
        <w:rPr>
          <w:lang w:val="it-IT"/>
        </w:rPr>
        <w:t xml:space="preserve"> all’ambiente di lavoro diretto.</w:t>
      </w:r>
    </w:p>
    <w:p w:rsidR="001710A2" w:rsidRPr="00AC275F" w:rsidRDefault="00AC275F" w:rsidP="001710A2">
      <w:pPr>
        <w:pStyle w:val="05BAFUGrundschriftAufzhlung"/>
        <w:numPr>
          <w:ilvl w:val="0"/>
          <w:numId w:val="40"/>
        </w:numPr>
        <w:rPr>
          <w:lang w:val="it-CH"/>
        </w:rPr>
      </w:pPr>
      <w:r w:rsidRPr="00AC275F">
        <w:rPr>
          <w:lang w:val="it-IT"/>
        </w:rPr>
        <w:t xml:space="preserve">Il segnale è posto sul secondo o sul terzo strato di un imballaggio stagno di campioni se questi sono conservati, manipolati o trasportati </w:t>
      </w:r>
      <w:r w:rsidRPr="00AC275F">
        <w:rPr>
          <w:u w:val="single"/>
          <w:lang w:val="it-IT"/>
        </w:rPr>
        <w:t>fuori</w:t>
      </w:r>
      <w:r w:rsidRPr="00AC275F">
        <w:rPr>
          <w:lang w:val="it-IT"/>
        </w:rPr>
        <w:t xml:space="preserve"> dal locale contrassegnato.</w:t>
      </w:r>
    </w:p>
    <w:p w:rsidR="001710A2" w:rsidRPr="00AC275F" w:rsidRDefault="00AC275F" w:rsidP="001710A2">
      <w:pPr>
        <w:pStyle w:val="05BAFUGrundschriftAufzhlung"/>
        <w:numPr>
          <w:ilvl w:val="0"/>
          <w:numId w:val="40"/>
        </w:numPr>
        <w:rPr>
          <w:lang w:val="it-CH"/>
        </w:rPr>
      </w:pPr>
      <w:r w:rsidRPr="00AC275F">
        <w:rPr>
          <w:lang w:val="it-IT"/>
        </w:rPr>
        <w:t xml:space="preserve">Il segnale è apposto temporaneamente su apparecchi (ad es. centrifughe) che si trovano </w:t>
      </w:r>
      <w:r w:rsidRPr="00AC275F">
        <w:rPr>
          <w:u w:val="single"/>
          <w:lang w:val="it-IT"/>
        </w:rPr>
        <w:t>fuori</w:t>
      </w:r>
      <w:r w:rsidRPr="00AC275F">
        <w:rPr>
          <w:lang w:val="it-IT"/>
        </w:rPr>
        <w:t xml:space="preserve"> dal laboratorio contrassegnato se in quest’area vengono </w:t>
      </w:r>
      <w:r w:rsidRPr="00AC275F">
        <w:rPr>
          <w:u w:val="single"/>
          <w:lang w:val="it-IT"/>
        </w:rPr>
        <w:t>eccezionalmente</w:t>
      </w:r>
      <w:r w:rsidRPr="00AC275F">
        <w:rPr>
          <w:lang w:val="it-IT"/>
        </w:rPr>
        <w:t xml:space="preserve"> utilizzati organismi del gruppo 2.</w:t>
      </w:r>
    </w:p>
    <w:p w:rsidR="00705F68" w:rsidRPr="00AC275F" w:rsidRDefault="00AC275F" w:rsidP="00705F68">
      <w:pPr>
        <w:pStyle w:val="Listenabsatz"/>
        <w:numPr>
          <w:ilvl w:val="0"/>
          <w:numId w:val="40"/>
        </w:numPr>
        <w:rPr>
          <w:lang w:val="it-CH"/>
        </w:rPr>
      </w:pPr>
      <w:r w:rsidRPr="00AC275F">
        <w:rPr>
          <w:rFonts w:ascii="Arial" w:hAnsi="Arial" w:cs="Arial"/>
          <w:noProof/>
          <w:sz w:val="20"/>
          <w:szCs w:val="20"/>
          <w:lang w:val="it-IT" w:eastAsia="de-CH"/>
        </w:rPr>
        <w:t xml:space="preserve">Il segnale è affisso sulle porte dei frigoriferi che si trovano </w:t>
      </w:r>
      <w:r w:rsidRPr="00AC275F">
        <w:rPr>
          <w:rFonts w:ascii="Arial" w:hAnsi="Arial" w:cs="Arial"/>
          <w:noProof/>
          <w:sz w:val="20"/>
          <w:szCs w:val="20"/>
          <w:u w:val="single"/>
          <w:lang w:val="it-IT" w:eastAsia="de-CH"/>
        </w:rPr>
        <w:t>fuori</w:t>
      </w:r>
      <w:r w:rsidRPr="00AC275F">
        <w:rPr>
          <w:rFonts w:ascii="Arial" w:hAnsi="Arial" w:cs="Arial"/>
          <w:noProof/>
          <w:sz w:val="20"/>
          <w:szCs w:val="20"/>
          <w:lang w:val="it-IT" w:eastAsia="de-CH"/>
        </w:rPr>
        <w:t xml:space="preserve"> di un locale contrassegnato se essi sono usati per la conservazione di organismi del gruppo 2</w:t>
      </w:r>
      <w:r w:rsidRPr="00AC275F">
        <w:rPr>
          <w:rFonts w:ascii="Arial" w:hAnsi="Arial" w:cs="Arial"/>
          <w:noProof/>
          <w:sz w:val="20"/>
          <w:szCs w:val="20"/>
          <w:vertAlign w:val="superscript"/>
          <w:lang w:val="it-IT" w:eastAsia="de-CH"/>
        </w:rPr>
        <w:footnoteReference w:id="3"/>
      </w:r>
      <w:r w:rsidRPr="00AC275F">
        <w:rPr>
          <w:rFonts w:ascii="Arial" w:hAnsi="Arial" w:cs="Arial"/>
          <w:noProof/>
          <w:sz w:val="20"/>
          <w:szCs w:val="20"/>
          <w:lang w:val="it-IT" w:eastAsia="de-CH"/>
        </w:rPr>
        <w:t>.</w:t>
      </w:r>
    </w:p>
    <w:p w:rsidR="00AC275F" w:rsidRDefault="00AC275F" w:rsidP="00EA4E63">
      <w:pPr>
        <w:pStyle w:val="05BAFUGrundschriftAufzhlung"/>
        <w:numPr>
          <w:ilvl w:val="0"/>
          <w:numId w:val="0"/>
        </w:numPr>
        <w:ind w:left="360"/>
        <w:rPr>
          <w:b/>
          <w:lang w:val="it-CH"/>
        </w:rPr>
      </w:pPr>
      <w:r>
        <w:rPr>
          <w:b/>
          <w:lang w:val="it-CH"/>
        </w:rPr>
        <w:br w:type="page"/>
      </w:r>
    </w:p>
    <w:p w:rsidR="00705F68" w:rsidRPr="00AC275F" w:rsidRDefault="00AC275F" w:rsidP="00705F68">
      <w:pPr>
        <w:pStyle w:val="02BAFUTitelnummeriert"/>
        <w:rPr>
          <w:noProof/>
          <w:sz w:val="20"/>
          <w:szCs w:val="20"/>
          <w:lang w:val="it-CH" w:eastAsia="de-CH"/>
        </w:rPr>
      </w:pPr>
      <w:r w:rsidRPr="00AC275F">
        <w:rPr>
          <w:lang w:val="it-IT"/>
        </w:rPr>
        <w:lastRenderedPageBreak/>
        <w:t>Caso speciale: uso di sacchetti contrassegnati</w:t>
      </w:r>
    </w:p>
    <w:p w:rsidR="00AC275F" w:rsidRPr="00D75C30" w:rsidRDefault="00AC275F" w:rsidP="00AC275F">
      <w:pPr>
        <w:pStyle w:val="05BAFUGrundschrift"/>
        <w:rPr>
          <w:lang w:val="it-IT"/>
        </w:rPr>
      </w:pPr>
      <w:r w:rsidRPr="00D75C30">
        <w:rPr>
          <w:lang w:val="it-IT"/>
        </w:rPr>
        <w:t xml:space="preserve">Sui sacchetti autoclavabili per i rifiuti biologici, ottenibili in commercio, va applicata l'avvertenza di pericolo. Dopo che i rifiuti sono stati autoclavati o inattivati, l’avvertenza sui sacchetti non è più necessaria. Nell’interesse di un migliore riconoscimento, i sacchetti autoclavabili devono essere identificabili come tali E, pertanto, devono recare indicatori termosensibili. </w:t>
      </w:r>
    </w:p>
    <w:p w:rsidR="00EA4E63" w:rsidRPr="00AC275F" w:rsidRDefault="00AC275F" w:rsidP="00AC275F">
      <w:pPr>
        <w:pStyle w:val="05BAFUGrundschrift"/>
        <w:rPr>
          <w:lang w:val="it-CH"/>
        </w:rPr>
      </w:pPr>
      <w:r w:rsidRPr="00D75C30">
        <w:rPr>
          <w:lang w:val="it-IT"/>
        </w:rPr>
        <w:t xml:space="preserve">I rifiuti inattivati possono essere smaltiti unitamente ai rifiuti aziendali solo se il segnale di rischio biologico non è più visibile. A tale scopo, vengono riposti in un </w:t>
      </w:r>
      <w:r>
        <w:rPr>
          <w:lang w:val="it-IT"/>
        </w:rPr>
        <w:t>i</w:t>
      </w:r>
      <w:r w:rsidRPr="00D75C30">
        <w:rPr>
          <w:lang w:val="it-IT"/>
        </w:rPr>
        <w:t xml:space="preserve">mballaggio </w:t>
      </w:r>
      <w:r>
        <w:rPr>
          <w:lang w:val="it-IT"/>
        </w:rPr>
        <w:t xml:space="preserve">secondario </w:t>
      </w:r>
      <w:r w:rsidRPr="00D75C30">
        <w:rPr>
          <w:lang w:val="it-IT"/>
        </w:rPr>
        <w:t>(sacco o contenitore) per evitare inutili confusioni nella catena di smaltimento.</w:t>
      </w:r>
      <w:r>
        <w:rPr>
          <w:lang w:val="it-IT"/>
        </w:rPr>
        <w:t xml:space="preserve"> </w:t>
      </w:r>
      <w:r w:rsidRPr="00D75C30">
        <w:rPr>
          <w:lang w:val="it-IT"/>
        </w:rPr>
        <w:t>I dettagli sono precisati nel piano di smaltimento.</w:t>
      </w:r>
    </w:p>
    <w:p w:rsidR="00EF3BDB" w:rsidRPr="00AC275F" w:rsidRDefault="00EF3BDB" w:rsidP="00705F68">
      <w:pPr>
        <w:pStyle w:val="05BAFUGrundschrift"/>
        <w:rPr>
          <w:lang w:val="it-CH"/>
        </w:rPr>
      </w:pPr>
    </w:p>
    <w:p w:rsidR="00972829" w:rsidRPr="00AC275F" w:rsidRDefault="00AC275F" w:rsidP="00972829">
      <w:pPr>
        <w:pStyle w:val="02BAFUTitelnummeriert"/>
        <w:rPr>
          <w:lang w:val="it-CH"/>
        </w:rPr>
      </w:pPr>
      <w:r w:rsidRPr="00AC275F">
        <w:rPr>
          <w:lang w:val="it-IT"/>
        </w:rPr>
        <w:t>Layout e forma del segnale di avvertimento o del segnale di sicurezza</w:t>
      </w:r>
    </w:p>
    <w:p w:rsidR="00AC275F" w:rsidRPr="00AC275F" w:rsidRDefault="00AC275F" w:rsidP="00AC275F">
      <w:pPr>
        <w:pStyle w:val="05BAFUGrundschriftAufzhlung2Hierarchie"/>
        <w:numPr>
          <w:ilvl w:val="0"/>
          <w:numId w:val="0"/>
        </w:numPr>
        <w:rPr>
          <w:rFonts w:ascii="Times New Roman" w:hAnsi="Times New Roman" w:cs="Times New Roman"/>
          <w:i/>
          <w:lang w:val="it-IT"/>
        </w:rPr>
      </w:pPr>
      <w:r w:rsidRPr="00AC275F">
        <w:rPr>
          <w:rFonts w:ascii="Times New Roman" w:hAnsi="Times New Roman" w:cs="Times New Roman"/>
          <w:i/>
          <w:iCs/>
          <w:lang w:val="it-IT"/>
        </w:rPr>
        <w:t>L’azienda</w:t>
      </w:r>
      <w:r w:rsidRPr="00AC275F">
        <w:rPr>
          <w:rFonts w:ascii="Times New Roman" w:hAnsi="Times New Roman" w:cs="Times New Roman"/>
          <w:i/>
          <w:iCs/>
          <w:color w:val="FF0000"/>
          <w:lang w:val="it-IT"/>
        </w:rPr>
        <w:t xml:space="preserve"> (Nome dell’azienda)</w:t>
      </w:r>
      <w:r w:rsidRPr="00AC275F">
        <w:rPr>
          <w:rFonts w:ascii="Times New Roman" w:hAnsi="Times New Roman" w:cs="Times New Roman"/>
          <w:i/>
          <w:iCs/>
          <w:lang w:val="it-IT"/>
        </w:rPr>
        <w:t xml:space="preserve"> utilizza il segnale di pericolo europeo / i segnali di pericolo europeo e internazionale</w:t>
      </w:r>
      <w:r w:rsidRPr="00AC275F">
        <w:rPr>
          <w:rFonts w:ascii="Times New Roman" w:hAnsi="Times New Roman" w:cs="Times New Roman"/>
          <w:i/>
          <w:lang w:val="it-IT"/>
        </w:rPr>
        <w:t>.</w:t>
      </w:r>
    </w:p>
    <w:p w:rsidR="00972829" w:rsidRPr="00AC275F" w:rsidRDefault="00972829" w:rsidP="00972829">
      <w:pPr>
        <w:pStyle w:val="05BAFUGrundschriftAufzhlung2Hierarchie"/>
        <w:numPr>
          <w:ilvl w:val="0"/>
          <w:numId w:val="0"/>
        </w:numPr>
        <w:rPr>
          <w:rFonts w:ascii="Times New Roman" w:hAnsi="Times New Roman" w:cs="Times New Roman"/>
          <w:i/>
          <w:lang w:val="it-IT"/>
        </w:rPr>
      </w:pPr>
    </w:p>
    <w:p w:rsidR="00972829" w:rsidRPr="00AC275F" w:rsidRDefault="00972829" w:rsidP="00972829">
      <w:pPr>
        <w:pStyle w:val="05BAFUGrundschriftAufzhlung2Hierarchie"/>
        <w:numPr>
          <w:ilvl w:val="0"/>
          <w:numId w:val="0"/>
        </w:numPr>
        <w:rPr>
          <w:lang w:val="it-CH"/>
        </w:rPr>
      </w:pPr>
    </w:p>
    <w:tbl>
      <w:tblPr>
        <w:tblW w:w="98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4942"/>
      </w:tblGrid>
      <w:tr w:rsidR="00972829" w:rsidRPr="00972829" w:rsidTr="00972829">
        <w:trPr>
          <w:trHeight w:val="2190"/>
        </w:trPr>
        <w:tc>
          <w:tcPr>
            <w:tcW w:w="4941" w:type="dxa"/>
            <w:vAlign w:val="center"/>
          </w:tcPr>
          <w:p w:rsidR="00972829" w:rsidRPr="00972829" w:rsidRDefault="00972829" w:rsidP="00972829">
            <w:pPr>
              <w:spacing w:line="280" w:lineRule="atLeast"/>
              <w:ind w:left="6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829">
              <w:rPr>
                <w:rFonts w:ascii="Arial" w:hAnsi="Arial" w:cs="Arial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53CFDCB1" wp14:editId="68525A4D">
                  <wp:extent cx="1371600" cy="1193800"/>
                  <wp:effectExtent l="0" t="0" r="0" b="0"/>
                  <wp:docPr id="1" name="Bild 1" descr="biol-ge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ol-gef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2" w:type="dxa"/>
            <w:vAlign w:val="center"/>
          </w:tcPr>
          <w:p w:rsidR="00972829" w:rsidRPr="00972829" w:rsidRDefault="00972829" w:rsidP="0097282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829">
              <w:rPr>
                <w:rFonts w:ascii="Arial" w:hAnsi="Arial" w:cs="Arial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3A5F1A4F" wp14:editId="6D811679">
                  <wp:extent cx="1727200" cy="1358900"/>
                  <wp:effectExtent l="0" t="0" r="0" b="0"/>
                  <wp:docPr id="2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829" w:rsidRPr="00AC275F" w:rsidTr="00972829">
        <w:tc>
          <w:tcPr>
            <w:tcW w:w="4941" w:type="dxa"/>
            <w:vAlign w:val="center"/>
          </w:tcPr>
          <w:p w:rsidR="00972829" w:rsidRPr="00972829" w:rsidRDefault="00AC275F" w:rsidP="00972829">
            <w:pPr>
              <w:spacing w:line="280" w:lineRule="atLeast"/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75F">
              <w:rPr>
                <w:rFonts w:ascii="Arial" w:hAnsi="Arial" w:cs="Arial"/>
                <w:sz w:val="20"/>
                <w:szCs w:val="20"/>
                <w:lang w:val="it-IT"/>
              </w:rPr>
              <w:t xml:space="preserve">Segnale europeo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AC275F">
              <w:rPr>
                <w:rFonts w:ascii="Arial" w:hAnsi="Arial" w:cs="Arial"/>
                <w:sz w:val="20"/>
                <w:szCs w:val="20"/>
                <w:lang w:val="it-IT"/>
              </w:rPr>
              <w:t>«Rischio biologico»</w:t>
            </w:r>
            <w:r w:rsidRPr="00AC275F">
              <w:rPr>
                <w:rFonts w:ascii="Arial" w:hAnsi="Arial" w:cs="Arial"/>
                <w:sz w:val="20"/>
                <w:szCs w:val="20"/>
                <w:vertAlign w:val="superscript"/>
                <w:lang w:val="it-IT"/>
              </w:rPr>
              <w:footnoteReference w:id="4"/>
            </w:r>
          </w:p>
        </w:tc>
        <w:tc>
          <w:tcPr>
            <w:tcW w:w="4942" w:type="dxa"/>
            <w:vAlign w:val="center"/>
          </w:tcPr>
          <w:p w:rsidR="00972829" w:rsidRPr="00AC275F" w:rsidRDefault="00AC275F" w:rsidP="00972829">
            <w:pPr>
              <w:spacing w:line="28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AC275F">
              <w:rPr>
                <w:rFonts w:ascii="Arial" w:hAnsi="Arial" w:cs="Arial"/>
                <w:sz w:val="20"/>
                <w:szCs w:val="20"/>
                <w:lang w:val="it-IT"/>
              </w:rPr>
              <w:t xml:space="preserve">Segnale internazionale di rischio </w:t>
            </w:r>
            <w:proofErr w:type="gramStart"/>
            <w:r w:rsidRPr="00AC275F">
              <w:rPr>
                <w:rFonts w:ascii="Arial" w:hAnsi="Arial" w:cs="Arial"/>
                <w:sz w:val="20"/>
                <w:szCs w:val="20"/>
                <w:lang w:val="it-IT"/>
              </w:rPr>
              <w:t>biologico</w:t>
            </w:r>
            <w:r w:rsidR="00972829" w:rsidRPr="00AC275F">
              <w:rPr>
                <w:rFonts w:ascii="Arial" w:hAnsi="Arial" w:cs="Arial"/>
                <w:sz w:val="20"/>
                <w:szCs w:val="20"/>
                <w:lang w:val="it-CH"/>
              </w:rPr>
              <w:br/>
            </w:r>
            <w:r w:rsidRPr="00AC275F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(</w:t>
            </w:r>
            <w:proofErr w:type="gramEnd"/>
            <w:r w:rsidRPr="00AC275F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con o senza testo)</w:t>
            </w:r>
          </w:p>
        </w:tc>
      </w:tr>
    </w:tbl>
    <w:p w:rsidR="00972829" w:rsidRPr="00AC275F" w:rsidRDefault="00972829" w:rsidP="00972829">
      <w:pPr>
        <w:pStyle w:val="05BAFUGrundschriftAufzhlung2Hierarchie"/>
        <w:numPr>
          <w:ilvl w:val="0"/>
          <w:numId w:val="0"/>
        </w:numPr>
        <w:rPr>
          <w:lang w:val="it-CH"/>
        </w:rPr>
      </w:pPr>
    </w:p>
    <w:p w:rsidR="000159CF" w:rsidRPr="00AC275F" w:rsidRDefault="000159CF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Default="008347FA" w:rsidP="000159CF">
      <w:pPr>
        <w:pStyle w:val="03BAFUUntertitel"/>
        <w:rPr>
          <w:lang w:val="it-CH"/>
        </w:rPr>
      </w:pPr>
    </w:p>
    <w:p w:rsidR="00E50624" w:rsidRPr="00AC275F" w:rsidRDefault="00E50624" w:rsidP="000159CF">
      <w:pPr>
        <w:pStyle w:val="03BAFUUntertitel"/>
        <w:rPr>
          <w:lang w:val="it-CH"/>
        </w:rPr>
      </w:pPr>
      <w:bookmarkStart w:id="1" w:name="_GoBack"/>
      <w:bookmarkEnd w:id="1"/>
    </w:p>
    <w:p w:rsidR="008347FA" w:rsidRPr="00AC275F" w:rsidRDefault="008347FA" w:rsidP="000159CF">
      <w:pPr>
        <w:pStyle w:val="03BAFUUntertitel"/>
        <w:rPr>
          <w:lang w:val="it-CH"/>
        </w:rPr>
      </w:pPr>
    </w:p>
    <w:p w:rsidR="008347FA" w:rsidRPr="00AC275F" w:rsidRDefault="008347FA" w:rsidP="000159CF">
      <w:pPr>
        <w:pStyle w:val="03BAFUUntertitel"/>
        <w:rPr>
          <w:lang w:val="it-CH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F53702" w:rsidTr="00F53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F53702" w:rsidRDefault="00E50624">
            <w:pPr>
              <w:pStyle w:val="07BAFUTabellelinks"/>
            </w:pPr>
            <w:r>
              <w:rPr>
                <w:lang w:val="it-IT"/>
              </w:rPr>
              <w:t>R</w:t>
            </w:r>
            <w:r w:rsidRPr="00E50624">
              <w:rPr>
                <w:lang w:val="it-IT"/>
              </w:rPr>
              <w:t>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F53702" w:rsidRDefault="00F53702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3702" w:rsidTr="00F537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F53702" w:rsidRDefault="00E50624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F53702" w:rsidRDefault="00F5370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2B0862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default" r:id="rId10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DC3" w:rsidRDefault="004F4DC3" w:rsidP="00DE38F1">
      <w:pPr>
        <w:spacing w:after="0" w:line="240" w:lineRule="auto"/>
      </w:pPr>
      <w:r>
        <w:separator/>
      </w:r>
    </w:p>
  </w:endnote>
  <w:endnote w:type="continuationSeparator" w:id="0">
    <w:p w:rsidR="004F4DC3" w:rsidRDefault="004F4DC3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DC3" w:rsidRDefault="004F4DC3" w:rsidP="00DE38F1">
      <w:pPr>
        <w:spacing w:after="0" w:line="240" w:lineRule="auto"/>
      </w:pPr>
    </w:p>
  </w:footnote>
  <w:footnote w:type="continuationSeparator" w:id="0">
    <w:p w:rsidR="004F4DC3" w:rsidRDefault="004F4DC3" w:rsidP="00DE38F1">
      <w:pPr>
        <w:spacing w:after="0" w:line="240" w:lineRule="auto"/>
      </w:pPr>
      <w:r>
        <w:continuationSeparator/>
      </w:r>
    </w:p>
  </w:footnote>
  <w:footnote w:id="1">
    <w:p w:rsidR="00AC275F" w:rsidRPr="00AC275F" w:rsidRDefault="00AC275F" w:rsidP="00AC275F">
      <w:pPr>
        <w:pStyle w:val="05BAFUFussnote"/>
        <w:rPr>
          <w:lang w:val="it-CH"/>
        </w:rPr>
      </w:pPr>
      <w:r w:rsidRPr="00AC275F">
        <w:rPr>
          <w:rStyle w:val="Funotenzeichen"/>
          <w:vertAlign w:val="baseline"/>
        </w:rPr>
        <w:footnoteRef/>
      </w:r>
      <w:r w:rsidRPr="00AC275F">
        <w:rPr>
          <w:lang w:val="it-CH"/>
        </w:rPr>
        <w:t xml:space="preserve"> L’ordinanza sull’impiego confinato (</w:t>
      </w:r>
      <w:proofErr w:type="spellStart"/>
      <w:r w:rsidRPr="00AC275F">
        <w:rPr>
          <w:lang w:val="it-CH"/>
        </w:rPr>
        <w:t>OIConf</w:t>
      </w:r>
      <w:proofErr w:type="spellEnd"/>
      <w:r w:rsidRPr="00AC275F">
        <w:rPr>
          <w:lang w:val="it-CH"/>
        </w:rPr>
        <w:t xml:space="preserve">) prevede l’impiego del segnale di rischio biologico nei laboratori di livello 2 o di livello superiore. </w:t>
      </w:r>
    </w:p>
  </w:footnote>
  <w:footnote w:id="2">
    <w:p w:rsidR="00AC275F" w:rsidRPr="00AC275F" w:rsidRDefault="00AC275F" w:rsidP="00AC275F">
      <w:pPr>
        <w:pStyle w:val="05BAFUFussnote"/>
        <w:rPr>
          <w:lang w:val="it-CH"/>
        </w:rPr>
      </w:pPr>
      <w:r w:rsidRPr="00AC275F">
        <w:rPr>
          <w:rStyle w:val="Funotenzeichen"/>
          <w:vertAlign w:val="baseline"/>
        </w:rPr>
        <w:footnoteRef/>
      </w:r>
      <w:r w:rsidRPr="00AC275F">
        <w:rPr>
          <w:lang w:val="it-CH"/>
        </w:rPr>
        <w:t xml:space="preserve"> La segnaletica del laboratorio corrisponde alle indicazioni riportate sui piani dei rischi degli edifici dell’azienda (Nome dell’azienda). </w:t>
      </w:r>
    </w:p>
  </w:footnote>
  <w:footnote w:id="3">
    <w:p w:rsidR="00AC275F" w:rsidRPr="00AC275F" w:rsidRDefault="00AC275F" w:rsidP="00AC275F">
      <w:pPr>
        <w:pStyle w:val="05BAFUFussnote"/>
        <w:rPr>
          <w:lang w:val="it-CH"/>
        </w:rPr>
      </w:pPr>
      <w:r w:rsidRPr="00AC275F">
        <w:rPr>
          <w:rStyle w:val="Funotenzeichen"/>
          <w:vertAlign w:val="baseline"/>
        </w:rPr>
        <w:footnoteRef/>
      </w:r>
      <w:r w:rsidRPr="00AC275F">
        <w:rPr>
          <w:lang w:val="it-CH"/>
        </w:rPr>
        <w:t xml:space="preserve"> Se i frigoriferi sono dotati di varie porte interne, il segnale va apposto su ogni porta.</w:t>
      </w:r>
    </w:p>
  </w:footnote>
  <w:footnote w:id="4">
    <w:p w:rsidR="00AC275F" w:rsidRPr="00E50624" w:rsidRDefault="00AC275F" w:rsidP="00E50624">
      <w:pPr>
        <w:pStyle w:val="05BAFUFussnote"/>
        <w:rPr>
          <w:lang w:val="it-CH"/>
        </w:rPr>
      </w:pPr>
      <w:r w:rsidRPr="00E50624">
        <w:rPr>
          <w:rStyle w:val="Funotenzeichen"/>
          <w:vertAlign w:val="baseline"/>
        </w:rPr>
        <w:footnoteRef/>
      </w:r>
      <w:r w:rsidR="00E50624" w:rsidRPr="00E50624">
        <w:rPr>
          <w:lang w:val="it-CH"/>
        </w:rPr>
        <w:t xml:space="preserve"> </w:t>
      </w:r>
      <w:r w:rsidRPr="00E50624">
        <w:rPr>
          <w:lang w:val="it-CH"/>
        </w:rPr>
        <w:t xml:space="preserve">Indirizzo di ordinazione: </w:t>
      </w:r>
      <w:hyperlink r:id="rId1" w:history="1">
        <w:r w:rsidRPr="00E50624">
          <w:rPr>
            <w:rStyle w:val="Hyperlink"/>
            <w:i w:val="0"/>
            <w:lang w:val="it-CH"/>
          </w:rPr>
          <w:t>http://www.suva.ch/</w:t>
        </w:r>
      </w:hyperlink>
      <w:r w:rsidRPr="00E50624">
        <w:rPr>
          <w:lang w:val="it-CH"/>
        </w:rPr>
        <w:t xml:space="preserve"> &gt; Dritti al punto &gt; Supporti informativi (</w:t>
      </w:r>
      <w:proofErr w:type="spellStart"/>
      <w:r w:rsidRPr="00E50624">
        <w:rPr>
          <w:lang w:val="it-CH"/>
        </w:rPr>
        <w:t>Waswo</w:t>
      </w:r>
      <w:proofErr w:type="spellEnd"/>
      <w:r w:rsidRPr="00E50624">
        <w:rPr>
          <w:lang w:val="it-CH"/>
        </w:rPr>
        <w:t>) –&gt; immettere il codice 1729/61 (https://www.suva.ch/de-CH/material/Produkte/warnzeichen_biogefaehrdung_172961_4284_4284</w:t>
      </w:r>
      <w:r w:rsidRPr="00E50624">
        <w:rPr>
          <w:rStyle w:val="Hyperlink"/>
          <w:i w:val="0"/>
          <w:lang w:val="it-CH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AC275F" w:rsidRDefault="00AC275F" w:rsidP="008263A1">
    <w:pPr>
      <w:pStyle w:val="Kopfzeile"/>
      <w:tabs>
        <w:tab w:val="right" w:pos="9866"/>
      </w:tabs>
      <w:rPr>
        <w:lang w:val="it-CH"/>
      </w:rPr>
    </w:pPr>
    <w:r w:rsidRPr="00AC275F">
      <w:rPr>
        <w:noProof/>
        <w:lang w:val="it-CH"/>
      </w:rPr>
      <w:t>Allegato</w:t>
    </w:r>
    <w:r w:rsidR="008263A1" w:rsidRPr="00AC275F">
      <w:rPr>
        <w:noProof/>
        <w:lang w:val="it-CH"/>
      </w:rPr>
      <w:t xml:space="preserve"> </w:t>
    </w:r>
    <w:r w:rsidR="00DD5049" w:rsidRPr="00AC275F">
      <w:rPr>
        <w:noProof/>
        <w:lang w:val="it-CH"/>
      </w:rPr>
      <w:t>8</w:t>
    </w:r>
    <w:r w:rsidR="008263A1" w:rsidRPr="00AC275F">
      <w:rPr>
        <w:noProof/>
        <w:lang w:val="it-CH"/>
      </w:rPr>
      <w:t xml:space="preserve">. </w:t>
    </w:r>
    <w:r w:rsidRPr="00AC275F">
      <w:rPr>
        <w:noProof/>
        <w:lang w:val="it-CH"/>
      </w:rPr>
      <w:t>Piano di sicurezza aziendale per laboratori di livello 2</w:t>
    </w:r>
    <w:r w:rsidR="008263A1" w:rsidRPr="00AC275F">
      <w:rPr>
        <w:rStyle w:val="99Kopfzeilegrau"/>
        <w:lang w:val="it-CH"/>
      </w:rPr>
      <w:t xml:space="preserve"> © </w:t>
    </w:r>
    <w:r w:rsidRPr="00AC275F">
      <w:rPr>
        <w:rStyle w:val="99Kopfzeilegrau"/>
        <w:lang w:val="it-CH"/>
      </w:rPr>
      <w:t>UFAM</w:t>
    </w:r>
    <w:r w:rsidR="008263A1" w:rsidRPr="00AC275F">
      <w:rPr>
        <w:rStyle w:val="99Kopfzeilegrau"/>
        <w:lang w:val="it-CH"/>
      </w:rPr>
      <w:t xml:space="preserve"> 2019</w:t>
    </w:r>
    <w:r w:rsidR="008263A1" w:rsidRPr="00AC275F">
      <w:rPr>
        <w:lang w:val="it-CH"/>
      </w:rPr>
      <w:tab/>
    </w:r>
    <w:r w:rsidR="008263A1" w:rsidRPr="00AC275F">
      <w:fldChar w:fldCharType="begin"/>
    </w:r>
    <w:r w:rsidR="008263A1" w:rsidRPr="00AC275F">
      <w:rPr>
        <w:lang w:val="it-CH"/>
      </w:rPr>
      <w:instrText>PAGE   \* MERGEFORMAT</w:instrText>
    </w:r>
    <w:r w:rsidR="008263A1" w:rsidRPr="00AC275F">
      <w:fldChar w:fldCharType="separate"/>
    </w:r>
    <w:r w:rsidR="00E50624">
      <w:rPr>
        <w:noProof/>
        <w:lang w:val="it-CH"/>
      </w:rPr>
      <w:t>2</w:t>
    </w:r>
    <w:r w:rsidR="008263A1" w:rsidRPr="00AC275F">
      <w:fldChar w:fldCharType="end"/>
    </w:r>
  </w:p>
  <w:p w:rsidR="008263A1" w:rsidRPr="00AC275F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AC275F" w:rsidRDefault="008263A1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504AD"/>
    <w:multiLevelType w:val="hybridMultilevel"/>
    <w:tmpl w:val="C944B18E"/>
    <w:lvl w:ilvl="0" w:tplc="40F6672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BB3221"/>
    <w:multiLevelType w:val="hybridMultilevel"/>
    <w:tmpl w:val="B16036AC"/>
    <w:lvl w:ilvl="0" w:tplc="F238D72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382D46"/>
    <w:multiLevelType w:val="hybridMultilevel"/>
    <w:tmpl w:val="B16036AC"/>
    <w:lvl w:ilvl="0" w:tplc="F238D72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0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162B4F"/>
    <w:multiLevelType w:val="hybridMultilevel"/>
    <w:tmpl w:val="C944B18E"/>
    <w:lvl w:ilvl="0" w:tplc="40F6672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3014C1"/>
    <w:multiLevelType w:val="hybridMultilevel"/>
    <w:tmpl w:val="DCA0A3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5" w15:restartNumberingAfterBreak="0">
    <w:nsid w:val="46B004D7"/>
    <w:multiLevelType w:val="hybridMultilevel"/>
    <w:tmpl w:val="D44296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E73B5"/>
    <w:multiLevelType w:val="hybridMultilevel"/>
    <w:tmpl w:val="C944B18E"/>
    <w:lvl w:ilvl="0" w:tplc="40F6672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30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DC658C0"/>
    <w:multiLevelType w:val="hybridMultilevel"/>
    <w:tmpl w:val="07C8F9E4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F0E83"/>
    <w:multiLevelType w:val="hybridMultilevel"/>
    <w:tmpl w:val="C944B18E"/>
    <w:lvl w:ilvl="0" w:tplc="40F6672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13"/>
  </w:num>
  <w:num w:numId="4">
    <w:abstractNumId w:val="19"/>
  </w:num>
  <w:num w:numId="5">
    <w:abstractNumId w:val="30"/>
  </w:num>
  <w:num w:numId="6">
    <w:abstractNumId w:val="24"/>
  </w:num>
  <w:num w:numId="7">
    <w:abstractNumId w:val="24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0"/>
  </w:num>
  <w:num w:numId="16">
    <w:abstractNumId w:val="27"/>
  </w:num>
  <w:num w:numId="17">
    <w:abstractNumId w:val="15"/>
  </w:num>
  <w:num w:numId="18">
    <w:abstractNumId w:val="29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1"/>
  </w:num>
  <w:num w:numId="25">
    <w:abstractNumId w:val="17"/>
  </w:num>
  <w:num w:numId="26">
    <w:abstractNumId w:val="32"/>
  </w:num>
  <w:num w:numId="27">
    <w:abstractNumId w:val="25"/>
  </w:num>
  <w:num w:numId="28">
    <w:abstractNumId w:val="31"/>
  </w:num>
  <w:num w:numId="29">
    <w:abstractNumId w:val="21"/>
  </w:num>
  <w:num w:numId="30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4"/>
  </w:num>
  <w:num w:numId="32">
    <w:abstractNumId w:val="11"/>
  </w:num>
  <w:num w:numId="33">
    <w:abstractNumId w:val="18"/>
  </w:num>
  <w:num w:numId="34">
    <w:abstractNumId w:val="22"/>
  </w:num>
  <w:num w:numId="35">
    <w:abstractNumId w:val="12"/>
  </w:num>
  <w:num w:numId="36">
    <w:abstractNumId w:val="11"/>
  </w:num>
  <w:num w:numId="37">
    <w:abstractNumId w:val="33"/>
  </w:num>
  <w:num w:numId="38">
    <w:abstractNumId w:val="23"/>
  </w:num>
  <w:num w:numId="39">
    <w:abstractNumId w:val="11"/>
  </w:num>
  <w:num w:numId="40">
    <w:abstractNumId w:val="26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159CF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0AFD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0A2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B0862"/>
    <w:rsid w:val="002C7AD1"/>
    <w:rsid w:val="002F1914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423368"/>
    <w:rsid w:val="00456CCB"/>
    <w:rsid w:val="00463452"/>
    <w:rsid w:val="00465964"/>
    <w:rsid w:val="00490C6C"/>
    <w:rsid w:val="004B4476"/>
    <w:rsid w:val="004B7112"/>
    <w:rsid w:val="004C0384"/>
    <w:rsid w:val="004C4B1D"/>
    <w:rsid w:val="004E03D2"/>
    <w:rsid w:val="004E7EAC"/>
    <w:rsid w:val="004F374B"/>
    <w:rsid w:val="004F44ED"/>
    <w:rsid w:val="004F4DC3"/>
    <w:rsid w:val="0051314B"/>
    <w:rsid w:val="00526A0C"/>
    <w:rsid w:val="005413E3"/>
    <w:rsid w:val="00546E75"/>
    <w:rsid w:val="00555CC1"/>
    <w:rsid w:val="00570D73"/>
    <w:rsid w:val="00573B63"/>
    <w:rsid w:val="00590EFB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40683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8661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3BE"/>
    <w:rsid w:val="007329FD"/>
    <w:rsid w:val="00734F2C"/>
    <w:rsid w:val="0074070B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47FA"/>
    <w:rsid w:val="0083754E"/>
    <w:rsid w:val="00840AB7"/>
    <w:rsid w:val="0085003C"/>
    <w:rsid w:val="00855F6B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72829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23AAB"/>
    <w:rsid w:val="00A255F2"/>
    <w:rsid w:val="00A36765"/>
    <w:rsid w:val="00A60378"/>
    <w:rsid w:val="00A72158"/>
    <w:rsid w:val="00A82010"/>
    <w:rsid w:val="00A84F32"/>
    <w:rsid w:val="00A97A6B"/>
    <w:rsid w:val="00AB39EF"/>
    <w:rsid w:val="00AC275F"/>
    <w:rsid w:val="00AC2BB5"/>
    <w:rsid w:val="00AC4985"/>
    <w:rsid w:val="00AD2418"/>
    <w:rsid w:val="00AE0E53"/>
    <w:rsid w:val="00AE55DC"/>
    <w:rsid w:val="00AF3C5E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7ACA"/>
    <w:rsid w:val="00BE4C60"/>
    <w:rsid w:val="00BF0385"/>
    <w:rsid w:val="00BF185C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93ADD"/>
    <w:rsid w:val="00D940AE"/>
    <w:rsid w:val="00D9789D"/>
    <w:rsid w:val="00DA11C0"/>
    <w:rsid w:val="00DA351C"/>
    <w:rsid w:val="00DB118B"/>
    <w:rsid w:val="00DD5049"/>
    <w:rsid w:val="00DE38F1"/>
    <w:rsid w:val="00DE4CF2"/>
    <w:rsid w:val="00DF10B8"/>
    <w:rsid w:val="00E01811"/>
    <w:rsid w:val="00E03B46"/>
    <w:rsid w:val="00E3414A"/>
    <w:rsid w:val="00E40A11"/>
    <w:rsid w:val="00E4541E"/>
    <w:rsid w:val="00E45DD9"/>
    <w:rsid w:val="00E4708D"/>
    <w:rsid w:val="00E477CC"/>
    <w:rsid w:val="00E50624"/>
    <w:rsid w:val="00E517EA"/>
    <w:rsid w:val="00E56938"/>
    <w:rsid w:val="00E57B38"/>
    <w:rsid w:val="00E7245F"/>
    <w:rsid w:val="00E76A19"/>
    <w:rsid w:val="00E81548"/>
    <w:rsid w:val="00EA3E4B"/>
    <w:rsid w:val="00EA4E63"/>
    <w:rsid w:val="00EC4066"/>
    <w:rsid w:val="00ED6F44"/>
    <w:rsid w:val="00ED789D"/>
    <w:rsid w:val="00EF3BDB"/>
    <w:rsid w:val="00F05162"/>
    <w:rsid w:val="00F06554"/>
    <w:rsid w:val="00F10543"/>
    <w:rsid w:val="00F21441"/>
    <w:rsid w:val="00F325C1"/>
    <w:rsid w:val="00F336DA"/>
    <w:rsid w:val="00F3466A"/>
    <w:rsid w:val="00F53702"/>
    <w:rsid w:val="00F57024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  <w:rsid w:val="00FF2201"/>
    <w:rsid w:val="00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2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360" w:hanging="36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va.ch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101F0-0A89-420F-AD90-522FFA4A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416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3</cp:revision>
  <cp:lastPrinted>2019-09-05T12:42:00Z</cp:lastPrinted>
  <dcterms:created xsi:type="dcterms:W3CDTF">2020-02-05T11:55:00Z</dcterms:created>
  <dcterms:modified xsi:type="dcterms:W3CDTF">2020-02-05T12:08:00Z</dcterms:modified>
</cp:coreProperties>
</file>