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573B63" w:rsidRDefault="009E4C68" w:rsidP="009E4C68">
      <w:pPr>
        <w:pStyle w:val="01BAFUKapiteltitelnummeriert"/>
        <w:numPr>
          <w:ilvl w:val="0"/>
          <w:numId w:val="0"/>
        </w:numPr>
      </w:pPr>
      <w:bookmarkStart w:id="0" w:name="_Toc12457507"/>
      <w:r w:rsidRPr="009E4C68">
        <w:rPr>
          <w:color w:val="B6BDBB"/>
        </w:rPr>
        <w:t>A</w:t>
      </w:r>
      <w:r w:rsidR="00562F45">
        <w:rPr>
          <w:color w:val="B6BDBB"/>
        </w:rPr>
        <w:t>nnex</w:t>
      </w:r>
      <w:r w:rsidRPr="009E4C68">
        <w:rPr>
          <w:color w:val="B6BDBB"/>
        </w:rPr>
        <w:t xml:space="preserve"> 1</w:t>
      </w:r>
      <w:r>
        <w:t xml:space="preserve"> </w:t>
      </w:r>
      <w:r>
        <w:br/>
      </w:r>
      <w:bookmarkEnd w:id="0"/>
      <w:r w:rsidR="00562F45" w:rsidRPr="00562F45">
        <w:rPr>
          <w:lang w:val="en-GB"/>
        </w:rPr>
        <w:t>Duties of the Biosafety Officers and of the Laboratory and Project Managers</w:t>
      </w:r>
    </w:p>
    <w:p w:rsidR="00562F45" w:rsidRPr="00562F45" w:rsidRDefault="00562F45" w:rsidP="00562F45">
      <w:pPr>
        <w:pStyle w:val="05BAFUGrundschrift"/>
        <w:rPr>
          <w:b/>
          <w:color w:val="6C9051" w:themeColor="accent2" w:themeShade="BF"/>
          <w:lang w:val="en-GB"/>
        </w:rPr>
      </w:pPr>
      <w:r w:rsidRPr="00562F45">
        <w:rPr>
          <w:b/>
          <w:color w:val="6C9051" w:themeColor="accent2" w:themeShade="BF"/>
          <w:lang w:val="en-GB"/>
        </w:rPr>
        <w:t>The breakdown of tasks set out below is only an example and is not definitive. It must be adapted to the specific plant. In this connection, refer also to the Guideline Biosafety Officers (BSO) – Status, duties and responsibilities.</w:t>
      </w:r>
      <w:r w:rsidRPr="00562F45">
        <w:rPr>
          <w:rStyle w:val="Funotenzeichen"/>
          <w:b/>
          <w:smallCaps/>
          <w:color w:val="6C9051" w:themeColor="accent2" w:themeShade="BF"/>
          <w:lang w:val="en-GB"/>
        </w:rPr>
        <w:footnoteReference w:id="1"/>
      </w:r>
    </w:p>
    <w:p w:rsidR="001321BB" w:rsidRPr="001321BB" w:rsidRDefault="001321BB" w:rsidP="001321BB">
      <w:pPr>
        <w:pStyle w:val="02BAFUTitelnummeriert"/>
        <w:rPr>
          <w:lang w:val="en-GB" w:eastAsia="de-DE"/>
        </w:rPr>
      </w:pPr>
      <w:r w:rsidRPr="001321BB">
        <w:rPr>
          <w:lang w:val="en-GB" w:eastAsia="de-DE"/>
        </w:rPr>
        <w:t>Duties of the Biosafety Officers (BSOs)</w:t>
      </w:r>
    </w:p>
    <w:p w:rsidR="001321BB" w:rsidRPr="001321BB" w:rsidRDefault="001321BB" w:rsidP="001321BB">
      <w:pPr>
        <w:pStyle w:val="05BAFUGrundschriftAufzhlung"/>
        <w:rPr>
          <w:lang w:val="en-GB"/>
        </w:rPr>
      </w:pPr>
      <w:r w:rsidRPr="001321BB">
        <w:rPr>
          <w:lang w:val="en-GB"/>
        </w:rPr>
        <w:t>The BSO regularly undertakes further training.</w:t>
      </w:r>
    </w:p>
    <w:p w:rsidR="001321BB" w:rsidRPr="001321BB" w:rsidRDefault="001321BB" w:rsidP="001321BB">
      <w:pPr>
        <w:pStyle w:val="05BAFUGrundschriftAufzhlungletzte"/>
        <w:rPr>
          <w:lang w:val="en-GB"/>
        </w:rPr>
      </w:pPr>
      <w:r w:rsidRPr="001321BB">
        <w:rPr>
          <w:lang w:val="en-GB"/>
        </w:rPr>
        <w:t>The BSO draws up a plant safety concept for biological safety according to ESV and ensures regular updating of the concept, especially of the list of current projects.</w:t>
      </w:r>
    </w:p>
    <w:p w:rsidR="001321BB" w:rsidRPr="001321BB" w:rsidRDefault="001321BB" w:rsidP="001321BB">
      <w:pPr>
        <w:pStyle w:val="05BAFUGrundschriftohneAbstanddanach"/>
        <w:rPr>
          <w:lang w:val="en-GB"/>
        </w:rPr>
      </w:pPr>
      <w:r w:rsidRPr="001321BB">
        <w:rPr>
          <w:lang w:val="en-GB"/>
        </w:rPr>
        <w:t>The BSO ensures</w:t>
      </w:r>
      <w:r w:rsidRPr="001321BB">
        <w:rPr>
          <w:vertAlign w:val="superscript"/>
          <w:lang w:val="en-GB"/>
        </w:rPr>
        <w:footnoteReference w:id="2"/>
      </w:r>
      <w:r w:rsidRPr="001321BB">
        <w:rPr>
          <w:lang w:val="en-GB"/>
        </w:rPr>
        <w:t>:</w:t>
      </w:r>
    </w:p>
    <w:p w:rsidR="001321BB" w:rsidRPr="001321BB" w:rsidRDefault="001321BB" w:rsidP="001321BB">
      <w:pPr>
        <w:pStyle w:val="05BAFUGrundschriftAufzhlung"/>
        <w:rPr>
          <w:lang w:val="en-GB"/>
        </w:rPr>
      </w:pPr>
      <w:r w:rsidRPr="001321BB">
        <w:rPr>
          <w:lang w:val="en-GB"/>
        </w:rPr>
        <w:t>that the Laboratory and Project Managers comply with the principles of microbiological practice and the safety provisions;</w:t>
      </w:r>
    </w:p>
    <w:p w:rsidR="001321BB" w:rsidRPr="001321BB" w:rsidRDefault="001321BB" w:rsidP="001321BB">
      <w:pPr>
        <w:pStyle w:val="05BAFUGrundschriftAufzhlung"/>
        <w:rPr>
          <w:lang w:val="en-GB"/>
        </w:rPr>
      </w:pPr>
      <w:r w:rsidRPr="001321BB">
        <w:rPr>
          <w:lang w:val="en-GB"/>
        </w:rPr>
        <w:t>safe working with equipment and methods;</w:t>
      </w:r>
    </w:p>
    <w:p w:rsidR="001321BB" w:rsidRPr="001321BB" w:rsidRDefault="001321BB" w:rsidP="001321BB">
      <w:pPr>
        <w:pStyle w:val="05BAFUGrundschriftAufzhlung"/>
        <w:rPr>
          <w:lang w:val="en-GB"/>
        </w:rPr>
      </w:pPr>
      <w:r w:rsidRPr="001321BB">
        <w:rPr>
          <w:lang w:val="en-GB"/>
        </w:rPr>
        <w:t>that the rules on access are organized in such a way that only authorized persons are allowed access to the Level 2 area;</w:t>
      </w:r>
    </w:p>
    <w:p w:rsidR="001321BB" w:rsidRPr="001321BB" w:rsidRDefault="001321BB" w:rsidP="001321BB">
      <w:pPr>
        <w:pStyle w:val="05BAFUGrundschriftAufzhlung"/>
        <w:rPr>
          <w:lang w:val="en-GB"/>
        </w:rPr>
      </w:pPr>
      <w:r w:rsidRPr="001321BB">
        <w:rPr>
          <w:lang w:val="en-GB"/>
        </w:rPr>
        <w:t>that rooms are labelled correctly (authorization to enter, biohazard symbols for the Level 2 area etc.) with regard to work involving microbiological material;</w:t>
      </w:r>
    </w:p>
    <w:p w:rsidR="001321BB" w:rsidRPr="001321BB" w:rsidRDefault="001321BB" w:rsidP="001321BB">
      <w:pPr>
        <w:pStyle w:val="05BAFUGrundschriftAufzhlung"/>
        <w:rPr>
          <w:lang w:val="en-GB"/>
        </w:rPr>
      </w:pPr>
      <w:r w:rsidRPr="001321BB">
        <w:rPr>
          <w:lang w:val="en-GB"/>
        </w:rPr>
        <w:t>that emergency measures have been prepared (emergency plan);</w:t>
      </w:r>
    </w:p>
    <w:p w:rsidR="001321BB" w:rsidRPr="001321BB" w:rsidRDefault="001321BB" w:rsidP="001321BB">
      <w:pPr>
        <w:pStyle w:val="05BAFUGrundschriftAufzhlung"/>
        <w:rPr>
          <w:lang w:val="en-GB"/>
        </w:rPr>
      </w:pPr>
      <w:r w:rsidRPr="001321BB">
        <w:rPr>
          <w:lang w:val="en-GB"/>
        </w:rPr>
        <w:t>monitoring of compliance with safety measures;</w:t>
      </w:r>
    </w:p>
    <w:p w:rsidR="001321BB" w:rsidRPr="001321BB" w:rsidRDefault="001321BB" w:rsidP="001321BB">
      <w:pPr>
        <w:pStyle w:val="05BAFUGrundschriftAufzhlung"/>
        <w:rPr>
          <w:lang w:val="en-GB"/>
        </w:rPr>
      </w:pPr>
      <w:r w:rsidRPr="001321BB">
        <w:rPr>
          <w:lang w:val="en-GB"/>
        </w:rPr>
        <w:t>that notice is given of the regulations concerning correct disposal of microbiological waste;</w:t>
      </w:r>
    </w:p>
    <w:p w:rsidR="001321BB" w:rsidRPr="001321BB" w:rsidRDefault="001321BB" w:rsidP="001321BB">
      <w:pPr>
        <w:pStyle w:val="05BAFUGrundschriftAufzhlung"/>
        <w:rPr>
          <w:lang w:val="en-GB"/>
        </w:rPr>
      </w:pPr>
      <w:r w:rsidRPr="001321BB">
        <w:rPr>
          <w:lang w:val="en-GB"/>
        </w:rPr>
        <w:t>that the relevant people are notified of the regulations concerning the dispatch and transportation of biological material;</w:t>
      </w:r>
    </w:p>
    <w:p w:rsidR="001321BB" w:rsidRPr="001321BB" w:rsidRDefault="001321BB" w:rsidP="001321BB">
      <w:pPr>
        <w:pStyle w:val="05BAFUGrundschriftAufzhlung"/>
        <w:rPr>
          <w:lang w:val="en-GB"/>
        </w:rPr>
      </w:pPr>
      <w:r w:rsidRPr="001321BB">
        <w:rPr>
          <w:lang w:val="en-GB"/>
        </w:rPr>
        <w:t xml:space="preserve">coordination with other safety-related </w:t>
      </w:r>
      <w:r w:rsidRPr="001321BB">
        <w:t>areas (e.g. biosecurity);</w:t>
      </w:r>
    </w:p>
    <w:p w:rsidR="001321BB" w:rsidRPr="001321BB" w:rsidRDefault="001321BB" w:rsidP="001321BB">
      <w:pPr>
        <w:pStyle w:val="05BAFUGrundschriftAufzhlung"/>
        <w:rPr>
          <w:lang w:val="en-GB"/>
        </w:rPr>
      </w:pPr>
      <w:r w:rsidRPr="001321BB">
        <w:rPr>
          <w:lang w:val="en-GB"/>
        </w:rPr>
        <w:t>that the Laboratory and Project Managers submit the reports and applications for authorization to the Federal Coordination Centre for Biotechnology. The BSO offers support in the form of advice;</w:t>
      </w:r>
    </w:p>
    <w:p w:rsidR="001321BB" w:rsidRPr="001321BB" w:rsidRDefault="001321BB" w:rsidP="001321BB">
      <w:pPr>
        <w:pStyle w:val="05BAFUGrundschriftAufzhlung"/>
        <w:rPr>
          <w:lang w:val="en-GB"/>
        </w:rPr>
      </w:pPr>
      <w:r w:rsidRPr="001321BB">
        <w:rPr>
          <w:lang w:val="en-GB"/>
        </w:rPr>
        <w:t xml:space="preserve">that documentation concerning his area of responsibility is submitted to the authorities (incl. reporting and authorization papers). This covers the nature of the activities and organisms, number of persons exposed, names of the Project Managers, names of the occupational health doctors and other occupational health specialists, and necessary protective measures and emergency plan. </w:t>
      </w:r>
    </w:p>
    <w:p w:rsidR="001321BB" w:rsidRPr="001321BB" w:rsidRDefault="001321BB" w:rsidP="001321BB">
      <w:pPr>
        <w:pStyle w:val="02BAFUTitelnummeriert"/>
        <w:rPr>
          <w:lang w:val="en-GB" w:eastAsia="de-DE"/>
        </w:rPr>
      </w:pPr>
      <w:r w:rsidRPr="001321BB">
        <w:rPr>
          <w:lang w:val="en-GB" w:eastAsia="de-DE"/>
        </w:rPr>
        <w:t>Duties and responsibility of the Laboratory and Project Managers</w:t>
      </w:r>
    </w:p>
    <w:p w:rsidR="001321BB" w:rsidRPr="001321BB" w:rsidRDefault="001321BB" w:rsidP="001321BB">
      <w:pPr>
        <w:pStyle w:val="05BAFUGrundschriftohneAbstanddanach"/>
        <w:rPr>
          <w:lang w:val="en-GB"/>
        </w:rPr>
      </w:pPr>
      <w:r w:rsidRPr="001321BB">
        <w:rPr>
          <w:lang w:val="en-GB"/>
        </w:rPr>
        <w:t>The Laboratory and Project Managers are responsible for:</w:t>
      </w:r>
    </w:p>
    <w:p w:rsidR="001321BB" w:rsidRPr="001321BB" w:rsidRDefault="001321BB" w:rsidP="001321BB">
      <w:pPr>
        <w:pStyle w:val="05BAFUGrundschriftAufzhlung"/>
        <w:rPr>
          <w:lang w:val="en-GB"/>
        </w:rPr>
      </w:pPr>
      <w:r w:rsidRPr="001321BB">
        <w:rPr>
          <w:lang w:val="en-GB"/>
        </w:rPr>
        <w:t>ensuring that laboratory personnel comply with the safety provisions and principles of microbiological practice;</w:t>
      </w:r>
    </w:p>
    <w:p w:rsidR="001321BB" w:rsidRPr="001321BB" w:rsidRDefault="001321BB" w:rsidP="001321BB">
      <w:pPr>
        <w:pStyle w:val="05BAFUGrundschriftAufzhlung"/>
        <w:rPr>
          <w:lang w:val="en-GB"/>
        </w:rPr>
      </w:pPr>
      <w:r w:rsidRPr="001321BB">
        <w:rPr>
          <w:lang w:val="en-GB"/>
        </w:rPr>
        <w:t>correct disposal of microbiological waste;</w:t>
      </w:r>
    </w:p>
    <w:p w:rsidR="001321BB" w:rsidRPr="001321BB" w:rsidRDefault="001321BB" w:rsidP="001321BB">
      <w:pPr>
        <w:pStyle w:val="05BAFUGrundschriftAufzhlung"/>
        <w:rPr>
          <w:lang w:val="en-GB"/>
        </w:rPr>
      </w:pPr>
      <w:r w:rsidRPr="001321BB">
        <w:rPr>
          <w:lang w:val="en-GB"/>
        </w:rPr>
        <w:t xml:space="preserve">the drawing-up, updating and implementation of operating instructions which, together with work instructions and rules of conduct, help to ensure environmental and occupational safety; </w:t>
      </w:r>
    </w:p>
    <w:p w:rsidR="001321BB" w:rsidRPr="001321BB" w:rsidRDefault="001321BB" w:rsidP="001321BB">
      <w:pPr>
        <w:pStyle w:val="05BAFUGrundschriftAufzhlung"/>
        <w:rPr>
          <w:lang w:val="en-GB"/>
        </w:rPr>
      </w:pPr>
      <w:r w:rsidRPr="001321BB">
        <w:rPr>
          <w:lang w:val="en-GB"/>
        </w:rPr>
        <w:t>the organization and checking of health monitoring according to Art. 13 and Art. 14 of the Ordinance on the protection of personnel from hazards due to microorganisms (SAMV);</w:t>
      </w:r>
    </w:p>
    <w:p w:rsidR="001321BB" w:rsidRPr="001321BB" w:rsidRDefault="001321BB" w:rsidP="001321BB">
      <w:pPr>
        <w:pStyle w:val="05BAFUGrundschriftAufzhlung"/>
        <w:rPr>
          <w:lang w:val="en-GB"/>
        </w:rPr>
      </w:pPr>
      <w:r w:rsidRPr="001321BB">
        <w:rPr>
          <w:lang w:val="en-GB"/>
        </w:rPr>
        <w:t>submitting reports and authorization applications to the Federal Coordination Centre for Biotechnology and to the BSO;</w:t>
      </w:r>
    </w:p>
    <w:p w:rsidR="001321BB" w:rsidRPr="001321BB" w:rsidRDefault="001321BB" w:rsidP="001321BB">
      <w:pPr>
        <w:pStyle w:val="05BAFUGrundschriftAufzhlung"/>
        <w:rPr>
          <w:lang w:val="en-GB"/>
        </w:rPr>
      </w:pPr>
      <w:r w:rsidRPr="001321BB">
        <w:rPr>
          <w:lang w:val="en-GB"/>
        </w:rPr>
        <w:t>recording any activities involving genetically modified or pathogenic organisms.</w:t>
      </w:r>
    </w:p>
    <w:p w:rsidR="001321BB" w:rsidRPr="001321BB" w:rsidRDefault="001321BB" w:rsidP="001321BB">
      <w:pPr>
        <w:spacing w:after="0" w:line="260" w:lineRule="atLeast"/>
        <w:ind w:left="360" w:hanging="360"/>
        <w:rPr>
          <w:rFonts w:ascii="Arial" w:eastAsia="Calibri" w:hAnsi="Arial" w:cs="Arial"/>
          <w:sz w:val="20"/>
          <w:lang w:val="en-GB"/>
        </w:rPr>
      </w:pPr>
    </w:p>
    <w:p w:rsidR="001321BB" w:rsidRPr="001321BB" w:rsidRDefault="001321BB" w:rsidP="001321BB">
      <w:pPr>
        <w:pStyle w:val="05BAFUGrundschriftohneAbstanddanach"/>
        <w:rPr>
          <w:lang w:val="en-GB"/>
        </w:rPr>
      </w:pPr>
      <w:r w:rsidRPr="001321BB">
        <w:rPr>
          <w:lang w:val="en-GB"/>
        </w:rPr>
        <w:t xml:space="preserve">The Laboratory and Project Managers: </w:t>
      </w:r>
      <w:bookmarkStart w:id="1" w:name="_GoBack"/>
      <w:bookmarkEnd w:id="1"/>
    </w:p>
    <w:p w:rsidR="001321BB" w:rsidRPr="001321BB" w:rsidRDefault="001321BB" w:rsidP="001321BB">
      <w:pPr>
        <w:pStyle w:val="05BAFUGrundschriftAufzhlung"/>
        <w:rPr>
          <w:lang w:val="en-GB"/>
        </w:rPr>
      </w:pPr>
      <w:r w:rsidRPr="001321BB">
        <w:rPr>
          <w:lang w:val="en-GB"/>
        </w:rPr>
        <w:t>ensure that employees receive basic training for their work and work-related instruction with regard to safety when dealing with biological material (at least once a year) and provide information – if appropriate together with the BSO – about dangers, necessary protective measures and incidents and accidents (Art. 12, SAMV);</w:t>
      </w:r>
    </w:p>
    <w:p w:rsidR="001321BB" w:rsidRPr="001321BB" w:rsidRDefault="001321BB" w:rsidP="001321BB">
      <w:pPr>
        <w:pStyle w:val="05BAFUGrundschriftAufzhlung"/>
        <w:rPr>
          <w:lang w:val="en-GB"/>
        </w:rPr>
      </w:pPr>
      <w:r w:rsidRPr="001321BB">
        <w:rPr>
          <w:lang w:val="en-GB"/>
        </w:rPr>
        <w:t>ensure that the correct protective equipment is available and, if necessary, make sure that rules are in place for maintaining and cleaning it;</w:t>
      </w:r>
    </w:p>
    <w:p w:rsidR="001321BB" w:rsidRPr="00E43AC3" w:rsidRDefault="001321BB" w:rsidP="001321BB">
      <w:pPr>
        <w:pStyle w:val="05BAFUGrundschriftAufzhlung"/>
      </w:pPr>
      <w:r w:rsidRPr="001321BB">
        <w:rPr>
          <w:lang w:val="en-GB"/>
        </w:rPr>
        <w:t>ensure that microbiological waste is disposed of correctly;</w:t>
      </w:r>
    </w:p>
    <w:p w:rsidR="001321BB" w:rsidRPr="001321BB" w:rsidRDefault="001321BB" w:rsidP="001321BB">
      <w:pPr>
        <w:pStyle w:val="05BAFUGrundschriftAufzhlung"/>
        <w:rPr>
          <w:lang w:val="en-GB"/>
        </w:rPr>
      </w:pPr>
      <w:r w:rsidRPr="001321BB">
        <w:rPr>
          <w:lang w:val="en-GB"/>
        </w:rPr>
        <w:t xml:space="preserve">agree the working arrangements with the cleaning service regarding the cleaning of designated areas, if the </w:t>
      </w:r>
      <w:r>
        <w:rPr>
          <w:lang w:val="en-GB"/>
        </w:rPr>
        <w:t>c</w:t>
      </w:r>
      <w:r w:rsidRPr="001321BB">
        <w:rPr>
          <w:lang w:val="en-GB"/>
        </w:rPr>
        <w:t xml:space="preserve">leaning service is given this task; </w:t>
      </w:r>
    </w:p>
    <w:p w:rsidR="001321BB" w:rsidRPr="001321BB" w:rsidRDefault="001321BB" w:rsidP="001321BB">
      <w:pPr>
        <w:pStyle w:val="05BAFUGrundschriftAufzhlung"/>
        <w:rPr>
          <w:lang w:val="en-GB"/>
        </w:rPr>
      </w:pPr>
      <w:r>
        <w:rPr>
          <w:lang w:val="en-GB"/>
        </w:rPr>
        <w:t>k</w:t>
      </w:r>
      <w:r w:rsidRPr="001321BB">
        <w:rPr>
          <w:lang w:val="en-GB"/>
        </w:rPr>
        <w:t xml:space="preserve">eep a project-specific list of employees in accordance with Art. 13 of SAMV. This contains details on the nature of the activities, type of organisms used, number of people exposed, names of the people working with Group 2 organisms, accidents and incidents which have occurred; </w:t>
      </w:r>
    </w:p>
    <w:p w:rsidR="001321BB" w:rsidRPr="001321BB" w:rsidRDefault="001321BB" w:rsidP="001321BB">
      <w:pPr>
        <w:pStyle w:val="05BAFUGrundschriftAufzhlung"/>
        <w:rPr>
          <w:lang w:val="en-GB"/>
        </w:rPr>
      </w:pPr>
      <w:r w:rsidRPr="001321BB">
        <w:rPr>
          <w:lang w:val="en-GB"/>
        </w:rPr>
        <w:t xml:space="preserve">arrange for a health file to be made out by </w:t>
      </w:r>
      <w:r w:rsidRPr="001321BB">
        <w:rPr>
          <w:i/>
          <w:lang w:val="en-GB"/>
        </w:rPr>
        <w:t>“the occupational health doctor called in, the company doctor or an independent medical examiner”</w:t>
      </w:r>
      <w:r w:rsidRPr="001321BB">
        <w:rPr>
          <w:lang w:val="en-GB"/>
        </w:rPr>
        <w:t xml:space="preserve"> for all employees for whom “</w:t>
      </w:r>
      <w:r w:rsidRPr="00733D5D">
        <w:rPr>
          <w:b/>
          <w:lang w:val="en-GB"/>
        </w:rPr>
        <w:t>special</w:t>
      </w:r>
      <w:r w:rsidRPr="001321BB">
        <w:rPr>
          <w:i/>
          <w:lang w:val="en-GB"/>
        </w:rPr>
        <w:t xml:space="preserve"> protective medical measures are required” </w:t>
      </w:r>
      <w:r w:rsidRPr="001321BB">
        <w:rPr>
          <w:lang w:val="en-GB"/>
        </w:rPr>
        <w:t xml:space="preserve">in accordance with Art.14 of SAMV; </w:t>
      </w:r>
    </w:p>
    <w:p w:rsidR="001321BB" w:rsidRPr="001321BB" w:rsidRDefault="001321BB" w:rsidP="001321BB">
      <w:pPr>
        <w:pStyle w:val="05BAFUGrundschriftAufzhlung"/>
        <w:rPr>
          <w:lang w:val="en-GB"/>
        </w:rPr>
      </w:pPr>
      <w:r w:rsidRPr="001321BB">
        <w:rPr>
          <w:lang w:val="en-GB"/>
        </w:rPr>
        <w:t>ensure that the in-house rules concerning the dispatch and transportation of biological material are complied with.</w:t>
      </w:r>
    </w:p>
    <w:p w:rsidR="00942F12" w:rsidRDefault="00942F12" w:rsidP="00942F12">
      <w:pPr>
        <w:pStyle w:val="05BAFUGrundschriftAufzhlung"/>
        <w:numPr>
          <w:ilvl w:val="0"/>
          <w:numId w:val="0"/>
        </w:numPr>
        <w:ind w:left="198" w:hanging="198"/>
      </w:pPr>
    </w:p>
    <w:p w:rsidR="003E79B6" w:rsidRDefault="003E79B6" w:rsidP="00942F12">
      <w:pPr>
        <w:pStyle w:val="05BAFUGrundschriftAufzhlung"/>
        <w:numPr>
          <w:ilvl w:val="0"/>
          <w:numId w:val="0"/>
        </w:numPr>
        <w:ind w:left="198" w:hanging="198"/>
      </w:pPr>
    </w:p>
    <w:p w:rsidR="003E79B6" w:rsidRDefault="003E79B6" w:rsidP="00942F12">
      <w:pPr>
        <w:pStyle w:val="05BAFUGrundschriftAufzhlung"/>
        <w:numPr>
          <w:ilvl w:val="0"/>
          <w:numId w:val="0"/>
        </w:numPr>
        <w:ind w:left="198" w:hanging="198"/>
      </w:pPr>
    </w:p>
    <w:p w:rsidR="00160288" w:rsidRDefault="00160288" w:rsidP="00942F12">
      <w:pPr>
        <w:pStyle w:val="05BAFUGrundschriftAufzhlung"/>
        <w:numPr>
          <w:ilvl w:val="0"/>
          <w:numId w:val="0"/>
        </w:numPr>
        <w:ind w:left="198" w:hanging="198"/>
      </w:pPr>
    </w:p>
    <w:p w:rsidR="00160288" w:rsidRDefault="00160288" w:rsidP="00942F12">
      <w:pPr>
        <w:pStyle w:val="05BAFUGrundschriftAufzhlung"/>
        <w:numPr>
          <w:ilvl w:val="0"/>
          <w:numId w:val="0"/>
        </w:numPr>
        <w:ind w:left="198" w:hanging="198"/>
      </w:pPr>
    </w:p>
    <w:p w:rsidR="00160288" w:rsidRDefault="00160288" w:rsidP="00942F12">
      <w:pPr>
        <w:pStyle w:val="05BAFUGrundschriftAufzhlung"/>
        <w:numPr>
          <w:ilvl w:val="0"/>
          <w:numId w:val="0"/>
        </w:numPr>
        <w:ind w:left="198" w:hanging="198"/>
      </w:pPr>
    </w:p>
    <w:p w:rsidR="00160288" w:rsidRDefault="00160288" w:rsidP="00942F12">
      <w:pPr>
        <w:pStyle w:val="05BAFUGrundschriftAufzhlung"/>
        <w:numPr>
          <w:ilvl w:val="0"/>
          <w:numId w:val="0"/>
        </w:numPr>
        <w:ind w:left="198" w:hanging="198"/>
      </w:pPr>
    </w:p>
    <w:p w:rsidR="00160288" w:rsidRDefault="00160288" w:rsidP="00942F12">
      <w:pPr>
        <w:pStyle w:val="05BAFUGrundschriftAufzhlung"/>
        <w:numPr>
          <w:ilvl w:val="0"/>
          <w:numId w:val="0"/>
        </w:numPr>
        <w:ind w:left="198" w:hanging="198"/>
      </w:pPr>
    </w:p>
    <w:p w:rsidR="00F704CF" w:rsidRDefault="00F704CF" w:rsidP="00942F12">
      <w:pPr>
        <w:pStyle w:val="05BAFUGrundschriftAufzhlung"/>
        <w:numPr>
          <w:ilvl w:val="0"/>
          <w:numId w:val="0"/>
        </w:numPr>
        <w:ind w:left="198" w:hanging="198"/>
      </w:pPr>
    </w:p>
    <w:p w:rsidR="003E79B6" w:rsidRDefault="003E79B6" w:rsidP="00942F12">
      <w:pPr>
        <w:pStyle w:val="05BAFUGrundschriftAufzhlung"/>
        <w:numPr>
          <w:ilvl w:val="0"/>
          <w:numId w:val="0"/>
        </w:numPr>
        <w:ind w:left="198" w:hanging="198"/>
      </w:pPr>
    </w:p>
    <w:p w:rsidR="00942F12" w:rsidRDefault="00942F12" w:rsidP="00160288">
      <w:pPr>
        <w:pStyle w:val="05BAFUGrundschriftAufzhlung"/>
        <w:numPr>
          <w:ilvl w:val="0"/>
          <w:numId w:val="0"/>
        </w:numPr>
      </w:pPr>
    </w:p>
    <w:p w:rsidR="00155E13" w:rsidRDefault="00155E13" w:rsidP="00826F8A">
      <w:pPr>
        <w:pStyle w:val="05BAFUGrundschriftAufzhlung"/>
        <w:numPr>
          <w:ilvl w:val="0"/>
          <w:numId w:val="0"/>
        </w:numPr>
      </w:pPr>
    </w:p>
    <w:tbl>
      <w:tblPr>
        <w:tblStyle w:val="Gitternetztabelle2"/>
        <w:tblW w:w="0" w:type="dxa"/>
        <w:tblLayout w:type="fixed"/>
        <w:tblCellMar>
          <w:left w:w="57" w:type="dxa"/>
          <w:right w:w="57" w:type="dxa"/>
        </w:tblCellMar>
        <w:tblLook w:val="04A0" w:firstRow="1" w:lastRow="0" w:firstColumn="1" w:lastColumn="0" w:noHBand="0" w:noVBand="1"/>
      </w:tblPr>
      <w:tblGrid>
        <w:gridCol w:w="2410"/>
        <w:gridCol w:w="7487"/>
      </w:tblGrid>
      <w:tr w:rsidR="00081655" w:rsidTr="005C26BB">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410" w:type="dxa"/>
            <w:tcBorders>
              <w:left w:val="nil"/>
              <w:bottom w:val="nil"/>
              <w:right w:val="single" w:sz="4" w:space="0" w:color="FFFFFF" w:themeColor="background1"/>
            </w:tcBorders>
            <w:shd w:val="clear" w:color="auto" w:fill="F2F2F2" w:themeFill="background1" w:themeFillShade="F2"/>
            <w:vAlign w:val="center"/>
            <w:hideMark/>
          </w:tcPr>
          <w:p w:rsidR="00081655" w:rsidRDefault="008C7E9F">
            <w:pPr>
              <w:pStyle w:val="07BAFUTabellelinks"/>
            </w:pPr>
            <w:r>
              <w:rPr>
                <w:color w:val="6C9051" w:themeColor="accent2" w:themeShade="BF"/>
              </w:rPr>
              <w:t>Compiled/Authorized</w:t>
            </w:r>
          </w:p>
        </w:tc>
        <w:tc>
          <w:tcPr>
            <w:tcW w:w="7487" w:type="dxa"/>
            <w:tcBorders>
              <w:bottom w:val="nil"/>
              <w:right w:val="single" w:sz="4" w:space="0" w:color="FFFFFF" w:themeColor="background1"/>
            </w:tcBorders>
            <w:shd w:val="clear" w:color="auto" w:fill="F2F2F2" w:themeFill="background1" w:themeFillShade="F2"/>
          </w:tcPr>
          <w:p w:rsidR="00081655" w:rsidRDefault="00081655">
            <w:pPr>
              <w:pStyle w:val="07BAFUTabellelinks"/>
              <w:cnfStyle w:val="100000000000" w:firstRow="1" w:lastRow="0" w:firstColumn="0" w:lastColumn="0" w:oddVBand="0" w:evenVBand="0" w:oddHBand="0" w:evenHBand="0" w:firstRowFirstColumn="0" w:firstRowLastColumn="0" w:lastRowFirstColumn="0" w:lastRowLastColumn="0"/>
            </w:pPr>
          </w:p>
        </w:tc>
      </w:tr>
      <w:tr w:rsidR="00081655" w:rsidTr="005C26BB">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single" w:sz="4" w:space="0" w:color="FFFFFF" w:themeColor="background1"/>
            </w:tcBorders>
            <w:vAlign w:val="center"/>
            <w:hideMark/>
          </w:tcPr>
          <w:p w:rsidR="00081655" w:rsidRDefault="00081655" w:rsidP="008C7E9F">
            <w:pPr>
              <w:pStyle w:val="07BAFUTabellelinks"/>
            </w:pPr>
            <w:r w:rsidRPr="00CE15D9">
              <w:rPr>
                <w:color w:val="6C9051" w:themeColor="accent2" w:themeShade="BF"/>
              </w:rPr>
              <w:t>D</w:t>
            </w:r>
            <w:r w:rsidR="008C7E9F">
              <w:rPr>
                <w:color w:val="6C9051" w:themeColor="accent2" w:themeShade="BF"/>
              </w:rPr>
              <w:t>ate</w:t>
            </w:r>
          </w:p>
        </w:tc>
        <w:tc>
          <w:tcPr>
            <w:tcW w:w="7487" w:type="dxa"/>
            <w:tcBorders>
              <w:top w:val="nil"/>
              <w:left w:val="single" w:sz="2" w:space="0" w:color="666666" w:themeColor="text1" w:themeTint="99"/>
              <w:bottom w:val="nil"/>
              <w:right w:val="single" w:sz="4" w:space="0" w:color="FFFFFF" w:themeColor="background1"/>
            </w:tcBorders>
          </w:tcPr>
          <w:p w:rsidR="00081655" w:rsidRDefault="00081655">
            <w:pPr>
              <w:pStyle w:val="07BAFUTabellelinks"/>
              <w:cnfStyle w:val="000000100000" w:firstRow="0" w:lastRow="0" w:firstColumn="0" w:lastColumn="0" w:oddVBand="0" w:evenVBand="0" w:oddHBand="1" w:evenHBand="0" w:firstRowFirstColumn="0" w:firstRowLastColumn="0" w:lastRowFirstColumn="0" w:lastRowLastColumn="0"/>
            </w:pPr>
          </w:p>
        </w:tc>
      </w:tr>
    </w:tbl>
    <w:p w:rsidR="00942F12" w:rsidRPr="004E03D2" w:rsidRDefault="00942F12" w:rsidP="00160288">
      <w:pPr>
        <w:pStyle w:val="05BAFUGrundschriftAufzhlung"/>
        <w:numPr>
          <w:ilvl w:val="0"/>
          <w:numId w:val="0"/>
        </w:numPr>
      </w:pPr>
    </w:p>
    <w:sectPr w:rsidR="00942F12" w:rsidRPr="004E03D2" w:rsidSect="004E03D2">
      <w:headerReference w:type="default" r:id="rId8"/>
      <w:pgSz w:w="11906" w:h="16838" w:code="9"/>
      <w:pgMar w:top="2892" w:right="1021" w:bottom="794" w:left="1021"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C68" w:rsidRDefault="009E4C68" w:rsidP="00DE38F1">
      <w:pPr>
        <w:spacing w:after="0" w:line="240" w:lineRule="auto"/>
      </w:pPr>
      <w:r>
        <w:separator/>
      </w:r>
    </w:p>
  </w:endnote>
  <w:endnote w:type="continuationSeparator" w:id="0">
    <w:p w:rsidR="009E4C68" w:rsidRDefault="009E4C68"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C68" w:rsidRDefault="009E4C68" w:rsidP="00DE38F1">
      <w:pPr>
        <w:spacing w:after="0" w:line="240" w:lineRule="auto"/>
      </w:pPr>
    </w:p>
  </w:footnote>
  <w:footnote w:type="continuationSeparator" w:id="0">
    <w:p w:rsidR="009E4C68" w:rsidRDefault="009E4C68" w:rsidP="00DE38F1">
      <w:pPr>
        <w:spacing w:after="0" w:line="240" w:lineRule="auto"/>
      </w:pPr>
      <w:r>
        <w:continuationSeparator/>
      </w:r>
    </w:p>
  </w:footnote>
  <w:footnote w:id="1">
    <w:p w:rsidR="00562F45" w:rsidRPr="001321BB" w:rsidRDefault="00562F45" w:rsidP="001321BB">
      <w:pPr>
        <w:pStyle w:val="05BAFUFussnote"/>
        <w:rPr>
          <w:color w:val="0000FF"/>
          <w:u w:val="single"/>
          <w:lang w:val="fr-CH"/>
        </w:rPr>
      </w:pPr>
      <w:r>
        <w:rPr>
          <w:rStyle w:val="Funotenzeichen"/>
          <w:lang w:val="en-GB"/>
        </w:rPr>
        <w:footnoteRef/>
      </w:r>
      <w:r w:rsidR="001321BB" w:rsidRPr="001321BB">
        <w:rPr>
          <w:lang w:val="fr-CH"/>
        </w:rPr>
        <w:t xml:space="preserve"> </w:t>
      </w:r>
      <w:proofErr w:type="spellStart"/>
      <w:r w:rsidRPr="001321BB">
        <w:rPr>
          <w:lang w:val="fr-CH"/>
        </w:rPr>
        <w:t>Published</w:t>
      </w:r>
      <w:proofErr w:type="spellEnd"/>
      <w:r w:rsidRPr="001321BB">
        <w:rPr>
          <w:lang w:val="fr-CH"/>
        </w:rPr>
        <w:t xml:space="preserve"> by: </w:t>
      </w:r>
      <w:proofErr w:type="spellStart"/>
      <w:r w:rsidRPr="001321BB">
        <w:rPr>
          <w:lang w:val="fr-CH"/>
        </w:rPr>
        <w:t>Federal</w:t>
      </w:r>
      <w:proofErr w:type="spellEnd"/>
      <w:r w:rsidRPr="001321BB">
        <w:rPr>
          <w:lang w:val="fr-CH"/>
        </w:rPr>
        <w:t xml:space="preserve"> Agency for the </w:t>
      </w:r>
      <w:proofErr w:type="spellStart"/>
      <w:r w:rsidRPr="001321BB">
        <w:rPr>
          <w:lang w:val="fr-CH"/>
        </w:rPr>
        <w:t>Environment</w:t>
      </w:r>
      <w:proofErr w:type="spellEnd"/>
      <w:r w:rsidRPr="001321BB">
        <w:rPr>
          <w:lang w:val="fr-CH"/>
        </w:rPr>
        <w:t xml:space="preserve">, </w:t>
      </w:r>
      <w:proofErr w:type="spellStart"/>
      <w:r w:rsidRPr="001321BB">
        <w:rPr>
          <w:lang w:val="fr-CH"/>
        </w:rPr>
        <w:t>Forests</w:t>
      </w:r>
      <w:proofErr w:type="spellEnd"/>
      <w:r w:rsidRPr="001321BB">
        <w:rPr>
          <w:lang w:val="fr-CH"/>
        </w:rPr>
        <w:t xml:space="preserve"> and </w:t>
      </w:r>
      <w:proofErr w:type="spellStart"/>
      <w:r w:rsidRPr="001321BB">
        <w:rPr>
          <w:lang w:val="fr-CH"/>
        </w:rPr>
        <w:t>Landscape</w:t>
      </w:r>
      <w:proofErr w:type="spellEnd"/>
      <w:r w:rsidRPr="001321BB">
        <w:rPr>
          <w:lang w:val="fr-CH"/>
        </w:rPr>
        <w:t xml:space="preserve"> (SAEFL), 2005; </w:t>
      </w:r>
      <w:r w:rsidRPr="001321BB">
        <w:rPr>
          <w:lang w:val="fr-CH"/>
        </w:rPr>
        <w:br/>
      </w:r>
      <w:proofErr w:type="spellStart"/>
      <w:r w:rsidRPr="001321BB">
        <w:rPr>
          <w:lang w:val="fr-CH"/>
        </w:rPr>
        <w:t>obtainable</w:t>
      </w:r>
      <w:proofErr w:type="spellEnd"/>
      <w:r w:rsidRPr="001321BB">
        <w:rPr>
          <w:lang w:val="fr-CH"/>
        </w:rPr>
        <w:t xml:space="preserve"> </w:t>
      </w:r>
      <w:proofErr w:type="spellStart"/>
      <w:r w:rsidRPr="001321BB">
        <w:rPr>
          <w:lang w:val="fr-CH"/>
        </w:rPr>
        <w:t>from</w:t>
      </w:r>
      <w:proofErr w:type="spellEnd"/>
      <w:r w:rsidRPr="001321BB">
        <w:rPr>
          <w:lang w:val="fr-CH"/>
        </w:rPr>
        <w:t xml:space="preserve">: </w:t>
      </w:r>
      <w:hyperlink r:id="rId1" w:history="1">
        <w:r w:rsidRPr="001321BB">
          <w:rPr>
            <w:rStyle w:val="Hyperlink"/>
            <w:lang w:val="en-GB"/>
          </w:rPr>
          <w:t>http://www.bafu.admin.ch/</w:t>
        </w:r>
      </w:hyperlink>
      <w:r w:rsidRPr="001321BB">
        <w:rPr>
          <w:lang w:val="fr-CH"/>
        </w:rPr>
        <w:t xml:space="preserve"> » Topics » </w:t>
      </w:r>
      <w:hyperlink r:id="rId2" w:history="1">
        <w:r w:rsidRPr="001321BB">
          <w:rPr>
            <w:lang w:val="fr-CH"/>
          </w:rPr>
          <w:t>Biotechnology</w:t>
        </w:r>
      </w:hyperlink>
      <w:r w:rsidRPr="001321BB">
        <w:rPr>
          <w:lang w:val="fr-CH"/>
        </w:rPr>
        <w:t xml:space="preserve"> » </w:t>
      </w:r>
      <w:proofErr w:type="spellStart"/>
      <w:r w:rsidRPr="001321BB">
        <w:rPr>
          <w:lang w:val="fr-CH"/>
        </w:rPr>
        <w:t>Enforcement</w:t>
      </w:r>
      <w:proofErr w:type="spellEnd"/>
      <w:r w:rsidRPr="001321BB">
        <w:rPr>
          <w:lang w:val="fr-CH"/>
        </w:rPr>
        <w:t xml:space="preserve"> </w:t>
      </w:r>
      <w:proofErr w:type="spellStart"/>
      <w:r w:rsidRPr="001321BB">
        <w:rPr>
          <w:lang w:val="fr-CH"/>
        </w:rPr>
        <w:t>aids</w:t>
      </w:r>
      <w:proofErr w:type="spellEnd"/>
      <w:r w:rsidRPr="001321BB">
        <w:rPr>
          <w:lang w:val="fr-CH"/>
        </w:rPr>
        <w:br/>
        <w:t xml:space="preserve">or direct: </w:t>
      </w:r>
      <w:hyperlink r:id="rId3" w:history="1">
        <w:r w:rsidRPr="001321BB">
          <w:rPr>
            <w:rStyle w:val="Hyperlink"/>
            <w:lang w:val="en-GB"/>
          </w:rPr>
          <w:t>https://www.bafu.admin.ch/bafu/en/home/topics/biotechnology/publications-studies/publications/biosafety-officers-bso.html</w:t>
        </w:r>
      </w:hyperlink>
      <w:r w:rsidRPr="001321BB">
        <w:rPr>
          <w:lang w:val="fr-CH"/>
        </w:rPr>
        <w:t xml:space="preserve"> </w:t>
      </w:r>
      <w:r w:rsidRPr="001321BB">
        <w:rPr>
          <w:color w:val="0000FF"/>
          <w:u w:val="single"/>
          <w:lang w:val="fr-CH"/>
        </w:rPr>
        <w:t xml:space="preserve"> </w:t>
      </w:r>
    </w:p>
  </w:footnote>
  <w:footnote w:id="2">
    <w:p w:rsidR="001321BB" w:rsidRPr="001321BB" w:rsidRDefault="001321BB" w:rsidP="001321BB">
      <w:pPr>
        <w:pStyle w:val="05BAFUFussnote"/>
        <w:rPr>
          <w:color w:val="008080"/>
          <w:lang w:val="fr-CH"/>
        </w:rPr>
      </w:pPr>
      <w:r>
        <w:rPr>
          <w:rStyle w:val="Funotenzeichen"/>
          <w:lang w:val="en-GB"/>
        </w:rPr>
        <w:footnoteRef/>
      </w:r>
      <w:r w:rsidRPr="001321BB">
        <w:rPr>
          <w:lang w:val="fr-CH"/>
        </w:rPr>
        <w:t xml:space="preserve"> </w:t>
      </w:r>
      <w:proofErr w:type="spellStart"/>
      <w:r w:rsidRPr="001321BB">
        <w:rPr>
          <w:lang w:val="fr-CH"/>
        </w:rPr>
        <w:t>Ensures</w:t>
      </w:r>
      <w:proofErr w:type="spellEnd"/>
      <w:r w:rsidRPr="001321BB">
        <w:rPr>
          <w:lang w:val="fr-CH"/>
        </w:rPr>
        <w:t xml:space="preserve"> i.e. </w:t>
      </w:r>
      <w:proofErr w:type="spellStart"/>
      <w:r w:rsidRPr="001321BB">
        <w:rPr>
          <w:lang w:val="fr-CH"/>
        </w:rPr>
        <w:t>either</w:t>
      </w:r>
      <w:proofErr w:type="spellEnd"/>
      <w:r w:rsidRPr="001321BB">
        <w:rPr>
          <w:lang w:val="fr-CH"/>
        </w:rPr>
        <w:t xml:space="preserve"> by </w:t>
      </w:r>
      <w:proofErr w:type="spellStart"/>
      <w:r w:rsidRPr="001321BB">
        <w:rPr>
          <w:lang w:val="fr-CH"/>
        </w:rPr>
        <w:t>way</w:t>
      </w:r>
      <w:proofErr w:type="spellEnd"/>
      <w:r w:rsidRPr="001321BB">
        <w:rPr>
          <w:lang w:val="fr-CH"/>
        </w:rPr>
        <w:t xml:space="preserve"> of </w:t>
      </w:r>
      <w:proofErr w:type="spellStart"/>
      <w:r w:rsidRPr="001321BB">
        <w:rPr>
          <w:lang w:val="fr-CH"/>
        </w:rPr>
        <w:t>responsibility</w:t>
      </w:r>
      <w:proofErr w:type="spellEnd"/>
      <w:r w:rsidRPr="001321BB">
        <w:rPr>
          <w:lang w:val="fr-CH"/>
        </w:rPr>
        <w:t xml:space="preserve"> at a </w:t>
      </w:r>
      <w:proofErr w:type="spellStart"/>
      <w:r w:rsidRPr="001321BB">
        <w:rPr>
          <w:lang w:val="fr-CH"/>
        </w:rPr>
        <w:t>higher</w:t>
      </w:r>
      <w:proofErr w:type="spellEnd"/>
      <w:r w:rsidRPr="001321BB">
        <w:rPr>
          <w:lang w:val="fr-CH"/>
        </w:rPr>
        <w:t xml:space="preserve"> </w:t>
      </w:r>
      <w:proofErr w:type="spellStart"/>
      <w:r w:rsidRPr="001321BB">
        <w:rPr>
          <w:lang w:val="fr-CH"/>
        </w:rPr>
        <w:t>level</w:t>
      </w:r>
      <w:proofErr w:type="spellEnd"/>
      <w:r w:rsidRPr="001321BB">
        <w:rPr>
          <w:lang w:val="fr-CH"/>
        </w:rPr>
        <w:t xml:space="preserve"> or by </w:t>
      </w:r>
      <w:proofErr w:type="spellStart"/>
      <w:r w:rsidRPr="001321BB">
        <w:rPr>
          <w:lang w:val="fr-CH"/>
        </w:rPr>
        <w:t>way</w:t>
      </w:r>
      <w:proofErr w:type="spellEnd"/>
      <w:r w:rsidRPr="001321BB">
        <w:rPr>
          <w:lang w:val="fr-CH"/>
        </w:rPr>
        <w:t xml:space="preserve"> of direct </w:t>
      </w:r>
      <w:proofErr w:type="spellStart"/>
      <w:r w:rsidRPr="001321BB">
        <w:rPr>
          <w:lang w:val="fr-CH"/>
        </w:rPr>
        <w:t>responsibility</w:t>
      </w:r>
      <w:proofErr w:type="spellEnd"/>
      <w:r w:rsidRPr="001321BB">
        <w:rPr>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A1" w:rsidRPr="002F0A18" w:rsidRDefault="008263A1" w:rsidP="002F0A18">
    <w:pPr>
      <w:pStyle w:val="99BAFUKopfzeileGrau"/>
      <w:rPr>
        <w:noProof/>
        <w:lang w:val="en-US"/>
      </w:rPr>
    </w:pPr>
    <w:r w:rsidRPr="002F0A18">
      <w:rPr>
        <w:noProof/>
        <w:lang w:val="fr-CH"/>
      </w:rPr>
      <w:t>An</w:t>
    </w:r>
    <w:r w:rsidR="00562F45">
      <w:rPr>
        <w:noProof/>
        <w:lang w:val="fr-CH"/>
      </w:rPr>
      <w:t>nex</w:t>
    </w:r>
    <w:r w:rsidRPr="002F0A18">
      <w:rPr>
        <w:noProof/>
        <w:lang w:val="fr-CH"/>
      </w:rPr>
      <w:t xml:space="preserve"> 1</w:t>
    </w:r>
    <w:r w:rsidR="00123F12" w:rsidRPr="002F0A18">
      <w:rPr>
        <w:noProof/>
        <w:lang w:val="fr-CH"/>
      </w:rPr>
      <w:t>.</w:t>
    </w:r>
    <w:r w:rsidRPr="002F0A18">
      <w:rPr>
        <w:noProof/>
        <w:lang w:val="fr-CH"/>
      </w:rPr>
      <w:t xml:space="preserve"> </w:t>
    </w:r>
    <w:r w:rsidR="002F0A18" w:rsidRPr="002F0A18">
      <w:rPr>
        <w:noProof/>
        <w:lang w:val="en-US"/>
      </w:rPr>
      <w:t xml:space="preserve">Safety concept </w:t>
    </w:r>
    <w:proofErr w:type="spellStart"/>
    <w:r w:rsidR="002F0A18" w:rsidRPr="002F0A18">
      <w:rPr>
        <w:lang w:val="fr-CH"/>
      </w:rPr>
      <w:t>according</w:t>
    </w:r>
    <w:proofErr w:type="spellEnd"/>
    <w:r w:rsidR="002F0A18" w:rsidRPr="002F0A18">
      <w:rPr>
        <w:noProof/>
        <w:lang w:val="en-US"/>
      </w:rPr>
      <w:t xml:space="preserve"> to ESV and SAMV for Level 2 </w:t>
    </w:r>
    <w:proofErr w:type="gramStart"/>
    <w:r w:rsidR="002F0A18" w:rsidRPr="002F0A18">
      <w:rPr>
        <w:noProof/>
        <w:lang w:val="en-US"/>
      </w:rPr>
      <w:t>laboratories</w:t>
    </w:r>
    <w:r w:rsidRPr="002F0A18">
      <w:rPr>
        <w:rStyle w:val="99Kopfzeilegrau"/>
        <w:color w:val="000000" w:themeColor="text1"/>
        <w:lang w:val="fr-CH"/>
      </w:rPr>
      <w:t xml:space="preserve"> </w:t>
    </w:r>
    <w:r w:rsidR="002F0A18" w:rsidRPr="002F0A18">
      <w:rPr>
        <w:rStyle w:val="99Kopfzeilegrau"/>
        <w:color w:val="000000" w:themeColor="text1"/>
        <w:lang w:val="fr-CH"/>
      </w:rPr>
      <w:t xml:space="preserve"> </w:t>
    </w:r>
    <w:r w:rsidRPr="002F0A18">
      <w:rPr>
        <w:rStyle w:val="99Kopfzeilegrau"/>
        <w:lang w:val="fr-CH"/>
      </w:rPr>
      <w:t>©</w:t>
    </w:r>
    <w:proofErr w:type="gramEnd"/>
    <w:r w:rsidRPr="002F0A18">
      <w:rPr>
        <w:rStyle w:val="99Kopfzeilegrau"/>
        <w:lang w:val="fr-CH"/>
      </w:rPr>
      <w:t xml:space="preserve"> </w:t>
    </w:r>
    <w:r w:rsidR="002F0A18" w:rsidRPr="002F0A18">
      <w:rPr>
        <w:rStyle w:val="99Kopfzeilegrau"/>
        <w:lang w:val="fr-CH"/>
      </w:rPr>
      <w:t>FOEN</w:t>
    </w:r>
    <w:r w:rsidRPr="002F0A18">
      <w:rPr>
        <w:rStyle w:val="99Kopfzeilegrau"/>
        <w:lang w:val="fr-CH"/>
      </w:rPr>
      <w:t xml:space="preserve"> 2019</w:t>
    </w:r>
    <w:r w:rsidRPr="002F0A18">
      <w:rPr>
        <w:lang w:val="fr-CH"/>
      </w:rPr>
      <w:tab/>
    </w:r>
    <w:r w:rsidRPr="00826F8A">
      <w:fldChar w:fldCharType="begin"/>
    </w:r>
    <w:r w:rsidRPr="002F0A18">
      <w:rPr>
        <w:lang w:val="fr-CH"/>
      </w:rPr>
      <w:instrText>PAGE   \* MERGEFORMAT</w:instrText>
    </w:r>
    <w:r w:rsidRPr="00826F8A">
      <w:fldChar w:fldCharType="separate"/>
    </w:r>
    <w:r w:rsidR="00E43AC3">
      <w:rPr>
        <w:noProof/>
        <w:lang w:val="fr-CH"/>
      </w:rPr>
      <w:t>1</w:t>
    </w:r>
    <w:r w:rsidRPr="00826F8A">
      <w:fldChar w:fldCharType="end"/>
    </w:r>
  </w:p>
  <w:p w:rsidR="008263A1" w:rsidRPr="002F0A18" w:rsidRDefault="008263A1" w:rsidP="008263A1">
    <w:pPr>
      <w:pStyle w:val="99BAFUSatzspiegellinie"/>
      <w:tabs>
        <w:tab w:val="clear" w:pos="9072"/>
        <w:tab w:val="left" w:pos="1038"/>
      </w:tabs>
      <w:rPr>
        <w:lang w:val="fr-CH"/>
      </w:rPr>
    </w:pPr>
  </w:p>
  <w:p w:rsidR="008263A1" w:rsidRPr="002F0A18" w:rsidRDefault="008263A1">
    <w:pPr>
      <w:pStyle w:val="Kopfzeile"/>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04236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A52D5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EA011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4E0F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58E4C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A52EA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6421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43A0A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3EB3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F8C6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0B10165B"/>
    <w:multiLevelType w:val="hybridMultilevel"/>
    <w:tmpl w:val="B6520BF6"/>
    <w:lvl w:ilvl="0" w:tplc="CB38C6AE">
      <w:start w:val="1"/>
      <w:numFmt w:val="decimal"/>
      <w:lvlText w:val="%1  "/>
      <w:lvlJc w:val="left"/>
      <w:pPr>
        <w:ind w:left="36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1AA85DA8"/>
    <w:multiLevelType w:val="hybridMultilevel"/>
    <w:tmpl w:val="864CA55E"/>
    <w:lvl w:ilvl="0" w:tplc="79123ED8">
      <w:start w:val="1"/>
      <w:numFmt w:val="decimal"/>
      <w:lvlText w:val="%1  "/>
      <w:lvlJc w:val="left"/>
      <w:pPr>
        <w:ind w:left="72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1D32364D"/>
    <w:multiLevelType w:val="hybridMultilevel"/>
    <w:tmpl w:val="4E884508"/>
    <w:lvl w:ilvl="0" w:tplc="25F2365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16" w15:restartNumberingAfterBreak="0">
    <w:nsid w:val="269D0DFF"/>
    <w:multiLevelType w:val="hybridMultilevel"/>
    <w:tmpl w:val="4A8E8E2C"/>
    <w:lvl w:ilvl="0" w:tplc="989895F0">
      <w:start w:val="1"/>
      <w:numFmt w:val="bullet"/>
      <w:lvlText w:val="–"/>
      <w:lvlJc w:val="left"/>
      <w:pPr>
        <w:ind w:left="720" w:hanging="360"/>
      </w:pPr>
      <w:rPr>
        <w:rFonts w:ascii="Times New Roman" w:hAnsi="Times New Roman"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73C31C9"/>
    <w:multiLevelType w:val="multilevel"/>
    <w:tmpl w:val="36F25648"/>
    <w:lvl w:ilvl="0">
      <w:start w:val="1"/>
      <w:numFmt w:val="decimal"/>
      <w:suff w:val="nothing"/>
      <w:lvlText w:val="%1  "/>
      <w:lvlJc w:val="left"/>
      <w:pPr>
        <w:ind w:left="0" w:firstLine="0"/>
      </w:pPr>
      <w:rPr>
        <w:rFonts w:ascii="Arial" w:hAnsi="Arial" w:hint="default"/>
        <w:b/>
        <w:i w:val="0"/>
        <w:color w:val="666666"/>
        <w:sz w:val="60"/>
      </w:rPr>
    </w:lvl>
    <w:lvl w:ilvl="1">
      <w:start w:val="1"/>
      <w:numFmt w:val="decimal"/>
      <w:suff w:val="nothing"/>
      <w:lvlText w:val="%1.%2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19" w15:restartNumberingAfterBreak="0">
    <w:nsid w:val="60921B7C"/>
    <w:multiLevelType w:val="hybridMultilevel"/>
    <w:tmpl w:val="572EE09E"/>
    <w:lvl w:ilvl="0" w:tplc="989895F0">
      <w:start w:val="1"/>
      <w:numFmt w:val="bullet"/>
      <w:lvlText w:val="–"/>
      <w:lvlJc w:val="left"/>
      <w:pPr>
        <w:ind w:left="720" w:hanging="360"/>
      </w:pPr>
      <w:rPr>
        <w:rFonts w:ascii="Times New Roman" w:hAnsi="Times New Roman" w:cs="Times New Roman" w:hint="default"/>
      </w:rPr>
    </w:lvl>
    <w:lvl w:ilvl="1" w:tplc="0807000F">
      <w:start w:val="1"/>
      <w:numFmt w:val="decimal"/>
      <w:lvlText w:val="%2."/>
      <w:lvlJc w:val="left"/>
      <w:pPr>
        <w:ind w:left="1440" w:hanging="360"/>
      </w:pPr>
      <w:rPr>
        <w:rFonts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67DD5974"/>
    <w:multiLevelType w:val="hybridMultilevel"/>
    <w:tmpl w:val="2CB4414A"/>
    <w:lvl w:ilvl="0" w:tplc="5D2A9C8A">
      <w:start w:val="1"/>
      <w:numFmt w:val="decimal"/>
      <w:lvlText w:val="%1  "/>
      <w:lvlJc w:val="left"/>
      <w:pPr>
        <w:ind w:left="360" w:hanging="360"/>
      </w:pPr>
      <w:rPr>
        <w:rFonts w:hint="default"/>
        <w:color w:val="666666"/>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2" w15:restartNumberingAfterBreak="0">
    <w:nsid w:val="7B677FD7"/>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E22146"/>
    <w:multiLevelType w:val="hybridMultilevel"/>
    <w:tmpl w:val="4D32DC0E"/>
    <w:lvl w:ilvl="0" w:tplc="85AA41C2">
      <w:start w:val="1"/>
      <w:numFmt w:val="decimal"/>
      <w:pStyle w:val="02BAFUTitelnummeriert"/>
      <w:lvlText w:val="%1."/>
      <w:lvlJc w:val="left"/>
      <w:pPr>
        <w:ind w:left="720" w:hanging="360"/>
      </w:pPr>
    </w:lvl>
    <w:lvl w:ilvl="1" w:tplc="08070019" w:tentative="1">
      <w:start w:val="1"/>
      <w:numFmt w:val="lowerLetter"/>
      <w:lvlText w:val="%2."/>
      <w:lvlJc w:val="left"/>
      <w:pPr>
        <w:ind w:left="1440" w:hanging="360"/>
      </w:pPr>
    </w:lvl>
    <w:lvl w:ilvl="2" w:tplc="0807001B">
      <w:start w:val="1"/>
      <w:numFmt w:val="lowerRoman"/>
      <w:pStyle w:val="03BAFUUntertitelnummeriert"/>
      <w:lvlText w:val="%3."/>
      <w:lvlJc w:val="right"/>
      <w:pPr>
        <w:ind w:left="2160" w:hanging="180"/>
      </w:pPr>
    </w:lvl>
    <w:lvl w:ilvl="3" w:tplc="0807000F" w:tentative="1">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0"/>
  </w:num>
  <w:num w:numId="2">
    <w:abstractNumId w:val="13"/>
  </w:num>
  <w:num w:numId="3">
    <w:abstractNumId w:val="11"/>
  </w:num>
  <w:num w:numId="4">
    <w:abstractNumId w:val="15"/>
  </w:num>
  <w:num w:numId="5">
    <w:abstractNumId w:val="22"/>
  </w:num>
  <w:num w:numId="6">
    <w:abstractNumId w:val="18"/>
  </w:num>
  <w:num w:numId="7">
    <w:abstractNumId w:val="18"/>
    <w:lvlOverride w:ilvl="0">
      <w:lvl w:ilvl="0">
        <w:start w:val="1"/>
        <w:numFmt w:val="decimal"/>
        <w:suff w:val="space"/>
        <w:lvlText w:val="%1  "/>
        <w:lvlJc w:val="left"/>
        <w:pPr>
          <w:ind w:left="0" w:firstLine="0"/>
        </w:pPr>
        <w:rPr>
          <w:rFonts w:ascii="Arial" w:hAnsi="Arial" w:hint="default"/>
          <w:b/>
          <w:i w:val="0"/>
          <w:color w:val="000000" w:themeColor="text1"/>
          <w:sz w:val="60"/>
        </w:rPr>
      </w:lvl>
    </w:lvlOverride>
    <w:lvlOverride w:ilvl="1">
      <w:lvl w:ilvl="1">
        <w:start w:val="1"/>
        <w:numFmt w:val="decimal"/>
        <w:suff w:val="space"/>
        <w:lvlText w:val="%1.%2"/>
        <w:lvlJc w:val="left"/>
        <w:pPr>
          <w:ind w:left="0" w:firstLine="0"/>
        </w:pPr>
        <w:rPr>
          <w:rFonts w:ascii="Arial" w:hAnsi="Arial" w:hint="default"/>
          <w:b/>
          <w:i w:val="0"/>
          <w:sz w:val="24"/>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ascii="Arial" w:hAnsi="Arial" w:hint="default"/>
          <w:b w:val="0"/>
          <w:i w:val="0"/>
          <w:sz w:val="20"/>
        </w:rPr>
      </w:lvl>
    </w:lvlOverride>
    <w:lvlOverride w:ilvl="4">
      <w:lvl w:ilvl="4">
        <w:start w:val="1"/>
        <w:numFmt w:val="decimal"/>
        <w:suff w:val="space"/>
        <w:lvlText w:val="%5."/>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8">
    <w:abstractNumId w:val="21"/>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6"/>
  </w:num>
  <w:num w:numId="16">
    <w:abstractNumId w:val="19"/>
  </w:num>
  <w:num w:numId="17">
    <w:abstractNumId w:val="12"/>
  </w:num>
  <w:num w:numId="18">
    <w:abstractNumId w:val="21"/>
    <w:lvlOverride w:ilvl="0">
      <w:lvl w:ilvl="0">
        <w:start w:val="1"/>
        <w:numFmt w:val="decimal"/>
        <w:pStyle w:val="01BAFUKapiteltitelnummeriert"/>
        <w:suff w:val="nothing"/>
        <w:lvlText w:val="%1  "/>
        <w:lvlJc w:val="left"/>
        <w:pPr>
          <w:ind w:left="0" w:firstLine="0"/>
        </w:pPr>
        <w:rPr>
          <w:rFonts w:ascii="Arial" w:hAnsi="Arial" w:hint="default"/>
          <w:b/>
          <w:i w:val="0"/>
          <w:color w:val="666666"/>
          <w:sz w:val="60"/>
        </w:rPr>
      </w:lvl>
    </w:lvlOverride>
    <w:lvlOverride w:ilvl="1">
      <w:lvl w:ilvl="1">
        <w:start w:val="1"/>
        <w:numFmt w:val="decimal"/>
        <w:suff w:val="nothing"/>
        <w:lvlText w:val="%1.%2  "/>
        <w:lvlJc w:val="left"/>
        <w:pPr>
          <w:ind w:left="0" w:firstLine="0"/>
        </w:pPr>
        <w:rPr>
          <w:rFonts w:ascii="Arial" w:hAnsi="Arial" w:hint="default"/>
          <w:b/>
          <w:i w:val="0"/>
          <w:sz w:val="24"/>
        </w:rPr>
      </w:lvl>
    </w:lvlOverride>
    <w:lvlOverride w:ilvl="2">
      <w:lvl w:ilvl="2">
        <w:start w:val="1"/>
        <w:numFmt w:val="decimal"/>
        <w:suff w:val="nothing"/>
        <w:lvlText w:val="%1.%2.%3  "/>
        <w:lvlJc w:val="left"/>
        <w:pPr>
          <w:ind w:left="0" w:firstLine="0"/>
        </w:pPr>
        <w:rPr>
          <w:rFonts w:hint="default"/>
        </w:rPr>
      </w:lvl>
    </w:lvlOverride>
    <w:lvlOverride w:ilvl="3">
      <w:lvl w:ilvl="3">
        <w:start w:val="1"/>
        <w:numFmt w:val="decimal"/>
        <w:suff w:val="nothing"/>
        <w:lvlText w:val="%1.%2.%3.%4  "/>
        <w:lvlJc w:val="left"/>
        <w:pPr>
          <w:ind w:left="0" w:firstLine="0"/>
        </w:pPr>
        <w:rPr>
          <w:rFonts w:ascii="Arial" w:hAnsi="Arial" w:hint="default"/>
          <w:b w:val="0"/>
          <w:i w:val="0"/>
          <w:sz w:val="20"/>
        </w:rPr>
      </w:lvl>
    </w:lvlOverride>
    <w:lvlOverride w:ilvl="4">
      <w:lvl w:ilvl="4">
        <w:start w:val="1"/>
        <w:numFmt w:val="decimal"/>
        <w:suff w:val="nothing"/>
        <w:lvlText w:val="%1.%2.%3.%4.%5  "/>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19">
    <w:abstractNumId w:val="8"/>
  </w:num>
  <w:num w:numId="20">
    <w:abstractNumId w:val="3"/>
  </w:num>
  <w:num w:numId="21">
    <w:abstractNumId w:val="2"/>
  </w:num>
  <w:num w:numId="22">
    <w:abstractNumId w:val="1"/>
  </w:num>
  <w:num w:numId="23">
    <w:abstractNumId w:val="0"/>
  </w:num>
  <w:num w:numId="24">
    <w:abstractNumId w:val="17"/>
  </w:num>
  <w:num w:numId="25">
    <w:abstractNumId w:val="14"/>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attachedTemplate r:id="rId1"/>
  <w:stylePaneSortMethod w:val="000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2726B"/>
    <w:rsid w:val="000508B2"/>
    <w:rsid w:val="000512CD"/>
    <w:rsid w:val="00054899"/>
    <w:rsid w:val="000568A8"/>
    <w:rsid w:val="000731DA"/>
    <w:rsid w:val="00077CC3"/>
    <w:rsid w:val="00081655"/>
    <w:rsid w:val="00084994"/>
    <w:rsid w:val="000904E5"/>
    <w:rsid w:val="000C7E51"/>
    <w:rsid w:val="000D6AEE"/>
    <w:rsid w:val="000E452C"/>
    <w:rsid w:val="000E45B2"/>
    <w:rsid w:val="00114F0A"/>
    <w:rsid w:val="0011540C"/>
    <w:rsid w:val="00123F12"/>
    <w:rsid w:val="001321BB"/>
    <w:rsid w:val="00137A4D"/>
    <w:rsid w:val="00141E0E"/>
    <w:rsid w:val="00151AA2"/>
    <w:rsid w:val="00153C5B"/>
    <w:rsid w:val="00153F00"/>
    <w:rsid w:val="00153F2E"/>
    <w:rsid w:val="00155E13"/>
    <w:rsid w:val="00160288"/>
    <w:rsid w:val="001616BD"/>
    <w:rsid w:val="001651FF"/>
    <w:rsid w:val="00171342"/>
    <w:rsid w:val="00174045"/>
    <w:rsid w:val="00194DC9"/>
    <w:rsid w:val="001A44A2"/>
    <w:rsid w:val="001C1F8F"/>
    <w:rsid w:val="001C37D6"/>
    <w:rsid w:val="001C5CBC"/>
    <w:rsid w:val="001D5333"/>
    <w:rsid w:val="001D5784"/>
    <w:rsid w:val="001E08D4"/>
    <w:rsid w:val="001E33A5"/>
    <w:rsid w:val="001F376D"/>
    <w:rsid w:val="001F3837"/>
    <w:rsid w:val="0022112A"/>
    <w:rsid w:val="00252555"/>
    <w:rsid w:val="00256463"/>
    <w:rsid w:val="002677B6"/>
    <w:rsid w:val="00276DDF"/>
    <w:rsid w:val="00284FE3"/>
    <w:rsid w:val="00286B19"/>
    <w:rsid w:val="002C7AD1"/>
    <w:rsid w:val="002F0A18"/>
    <w:rsid w:val="002F1914"/>
    <w:rsid w:val="00303E74"/>
    <w:rsid w:val="0030499A"/>
    <w:rsid w:val="00312C36"/>
    <w:rsid w:val="003176A2"/>
    <w:rsid w:val="00340CA8"/>
    <w:rsid w:val="00342FD2"/>
    <w:rsid w:val="00355384"/>
    <w:rsid w:val="003565E8"/>
    <w:rsid w:val="003741F7"/>
    <w:rsid w:val="003746C6"/>
    <w:rsid w:val="003766B9"/>
    <w:rsid w:val="00392765"/>
    <w:rsid w:val="003A597F"/>
    <w:rsid w:val="003B6705"/>
    <w:rsid w:val="003E79B6"/>
    <w:rsid w:val="00423368"/>
    <w:rsid w:val="00456CCB"/>
    <w:rsid w:val="00463452"/>
    <w:rsid w:val="00465964"/>
    <w:rsid w:val="00490C6C"/>
    <w:rsid w:val="004B4476"/>
    <w:rsid w:val="004B7112"/>
    <w:rsid w:val="004C4B1D"/>
    <w:rsid w:val="004E03D2"/>
    <w:rsid w:val="004E7EAC"/>
    <w:rsid w:val="004F374B"/>
    <w:rsid w:val="004F44ED"/>
    <w:rsid w:val="0051314B"/>
    <w:rsid w:val="00526A0C"/>
    <w:rsid w:val="005413E3"/>
    <w:rsid w:val="00546E75"/>
    <w:rsid w:val="00555CC1"/>
    <w:rsid w:val="00562F45"/>
    <w:rsid w:val="00573B63"/>
    <w:rsid w:val="00590EFB"/>
    <w:rsid w:val="005936E6"/>
    <w:rsid w:val="00597917"/>
    <w:rsid w:val="005B2F37"/>
    <w:rsid w:val="005B4E5A"/>
    <w:rsid w:val="005C26BB"/>
    <w:rsid w:val="005C4B31"/>
    <w:rsid w:val="005D4790"/>
    <w:rsid w:val="005D54DA"/>
    <w:rsid w:val="005F1E57"/>
    <w:rsid w:val="005F66F3"/>
    <w:rsid w:val="0060561E"/>
    <w:rsid w:val="00615917"/>
    <w:rsid w:val="00624E5D"/>
    <w:rsid w:val="006555AB"/>
    <w:rsid w:val="00656D20"/>
    <w:rsid w:val="00656E64"/>
    <w:rsid w:val="00662AEE"/>
    <w:rsid w:val="00673184"/>
    <w:rsid w:val="00675961"/>
    <w:rsid w:val="0068153F"/>
    <w:rsid w:val="006822CA"/>
    <w:rsid w:val="006A2B0C"/>
    <w:rsid w:val="006B4642"/>
    <w:rsid w:val="006E2C99"/>
    <w:rsid w:val="006E453A"/>
    <w:rsid w:val="006E7C6F"/>
    <w:rsid w:val="006F27DB"/>
    <w:rsid w:val="00702B4D"/>
    <w:rsid w:val="00704BD5"/>
    <w:rsid w:val="00706C67"/>
    <w:rsid w:val="0071445F"/>
    <w:rsid w:val="0071576D"/>
    <w:rsid w:val="00727ECB"/>
    <w:rsid w:val="0073013E"/>
    <w:rsid w:val="007313BE"/>
    <w:rsid w:val="00733D5D"/>
    <w:rsid w:val="00734F2C"/>
    <w:rsid w:val="00763C01"/>
    <w:rsid w:val="007657BC"/>
    <w:rsid w:val="007669E5"/>
    <w:rsid w:val="00784F1A"/>
    <w:rsid w:val="0079704F"/>
    <w:rsid w:val="007A2A66"/>
    <w:rsid w:val="007B0F69"/>
    <w:rsid w:val="007B3F2C"/>
    <w:rsid w:val="007B48BE"/>
    <w:rsid w:val="007D348C"/>
    <w:rsid w:val="007D51FC"/>
    <w:rsid w:val="007E7634"/>
    <w:rsid w:val="007F5163"/>
    <w:rsid w:val="0080534A"/>
    <w:rsid w:val="00821FE4"/>
    <w:rsid w:val="008263A1"/>
    <w:rsid w:val="00826F8A"/>
    <w:rsid w:val="00830F17"/>
    <w:rsid w:val="00832A96"/>
    <w:rsid w:val="008342B2"/>
    <w:rsid w:val="0083754E"/>
    <w:rsid w:val="00840AB7"/>
    <w:rsid w:val="0085003C"/>
    <w:rsid w:val="00855F6B"/>
    <w:rsid w:val="00895250"/>
    <w:rsid w:val="008B03E6"/>
    <w:rsid w:val="008C7E9F"/>
    <w:rsid w:val="008D6A8F"/>
    <w:rsid w:val="008E1175"/>
    <w:rsid w:val="008E2F9D"/>
    <w:rsid w:val="00902C57"/>
    <w:rsid w:val="009071AD"/>
    <w:rsid w:val="00912EEC"/>
    <w:rsid w:val="00915D5B"/>
    <w:rsid w:val="00916073"/>
    <w:rsid w:val="0091784A"/>
    <w:rsid w:val="009365F9"/>
    <w:rsid w:val="00942F12"/>
    <w:rsid w:val="0095210C"/>
    <w:rsid w:val="00995980"/>
    <w:rsid w:val="009A05C8"/>
    <w:rsid w:val="009A2346"/>
    <w:rsid w:val="009A4697"/>
    <w:rsid w:val="009A4E87"/>
    <w:rsid w:val="009B6A65"/>
    <w:rsid w:val="009C1E92"/>
    <w:rsid w:val="009C6BE6"/>
    <w:rsid w:val="009D2A0F"/>
    <w:rsid w:val="009D2E2D"/>
    <w:rsid w:val="009D5969"/>
    <w:rsid w:val="009D5FFF"/>
    <w:rsid w:val="009D727E"/>
    <w:rsid w:val="009E4826"/>
    <w:rsid w:val="009E4C68"/>
    <w:rsid w:val="009E51A0"/>
    <w:rsid w:val="009F49D8"/>
    <w:rsid w:val="00A14E83"/>
    <w:rsid w:val="00A23AAB"/>
    <w:rsid w:val="00A36765"/>
    <w:rsid w:val="00A60378"/>
    <w:rsid w:val="00A72158"/>
    <w:rsid w:val="00A84F32"/>
    <w:rsid w:val="00AB39EF"/>
    <w:rsid w:val="00AC2BB5"/>
    <w:rsid w:val="00AD2418"/>
    <w:rsid w:val="00AE55DC"/>
    <w:rsid w:val="00AF3C5E"/>
    <w:rsid w:val="00B21758"/>
    <w:rsid w:val="00B319B1"/>
    <w:rsid w:val="00B325D1"/>
    <w:rsid w:val="00B40C53"/>
    <w:rsid w:val="00B8675D"/>
    <w:rsid w:val="00B87B03"/>
    <w:rsid w:val="00B91E01"/>
    <w:rsid w:val="00B95429"/>
    <w:rsid w:val="00BB0408"/>
    <w:rsid w:val="00BC08C8"/>
    <w:rsid w:val="00BC1ED8"/>
    <w:rsid w:val="00BD7ACA"/>
    <w:rsid w:val="00BE4C60"/>
    <w:rsid w:val="00BF0385"/>
    <w:rsid w:val="00BF5276"/>
    <w:rsid w:val="00C030CC"/>
    <w:rsid w:val="00C06D65"/>
    <w:rsid w:val="00C40781"/>
    <w:rsid w:val="00C562AD"/>
    <w:rsid w:val="00C603A6"/>
    <w:rsid w:val="00C71A5D"/>
    <w:rsid w:val="00C732B1"/>
    <w:rsid w:val="00C73B33"/>
    <w:rsid w:val="00C81D31"/>
    <w:rsid w:val="00C86541"/>
    <w:rsid w:val="00CB5B6D"/>
    <w:rsid w:val="00CC0951"/>
    <w:rsid w:val="00CC1A82"/>
    <w:rsid w:val="00CC6A37"/>
    <w:rsid w:val="00CE15D9"/>
    <w:rsid w:val="00CE6B13"/>
    <w:rsid w:val="00CF6289"/>
    <w:rsid w:val="00CF7E2C"/>
    <w:rsid w:val="00D046D6"/>
    <w:rsid w:val="00D12461"/>
    <w:rsid w:val="00D313E8"/>
    <w:rsid w:val="00D32634"/>
    <w:rsid w:val="00D3342E"/>
    <w:rsid w:val="00D45CE1"/>
    <w:rsid w:val="00D53403"/>
    <w:rsid w:val="00D93ADD"/>
    <w:rsid w:val="00DA11C0"/>
    <w:rsid w:val="00DA351C"/>
    <w:rsid w:val="00DB118B"/>
    <w:rsid w:val="00DE38F1"/>
    <w:rsid w:val="00DE4CF2"/>
    <w:rsid w:val="00DF10B8"/>
    <w:rsid w:val="00E01811"/>
    <w:rsid w:val="00E03B46"/>
    <w:rsid w:val="00E3414A"/>
    <w:rsid w:val="00E40A11"/>
    <w:rsid w:val="00E43AC3"/>
    <w:rsid w:val="00E45DD9"/>
    <w:rsid w:val="00E4708D"/>
    <w:rsid w:val="00E477CC"/>
    <w:rsid w:val="00E517EA"/>
    <w:rsid w:val="00E56938"/>
    <w:rsid w:val="00E57B38"/>
    <w:rsid w:val="00E7245F"/>
    <w:rsid w:val="00E76A19"/>
    <w:rsid w:val="00EA3E4B"/>
    <w:rsid w:val="00ED6F44"/>
    <w:rsid w:val="00ED789D"/>
    <w:rsid w:val="00F05162"/>
    <w:rsid w:val="00F10543"/>
    <w:rsid w:val="00F21441"/>
    <w:rsid w:val="00F325C1"/>
    <w:rsid w:val="00F336DA"/>
    <w:rsid w:val="00F63A80"/>
    <w:rsid w:val="00F704CF"/>
    <w:rsid w:val="00F71844"/>
    <w:rsid w:val="00F832E0"/>
    <w:rsid w:val="00F91B77"/>
    <w:rsid w:val="00F9380F"/>
    <w:rsid w:val="00FA4C27"/>
    <w:rsid w:val="00FA5113"/>
    <w:rsid w:val="00FB0E30"/>
    <w:rsid w:val="00FC3FD5"/>
    <w:rsid w:val="00FC6C30"/>
    <w:rsid w:val="00FD2B6A"/>
    <w:rsid w:val="00FE0F7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8"/>
      </w:numPr>
    </w:pPr>
  </w:style>
  <w:style w:type="paragraph" w:customStyle="1" w:styleId="02BAFUTitelnummeriert">
    <w:name w:val="02_BAFU_Titel_nummeriert"/>
    <w:basedOn w:val="Standard"/>
    <w:qFormat/>
    <w:rsid w:val="00D45CE1"/>
    <w:pPr>
      <w:numPr>
        <w:numId w:val="26"/>
      </w:numPr>
      <w:tabs>
        <w:tab w:val="right" w:pos="9015"/>
      </w:tabs>
      <w:spacing w:after="284" w:line="283" w:lineRule="exact"/>
      <w:ind w:left="357" w:hanging="357"/>
    </w:pPr>
    <w:rPr>
      <w:rFonts w:ascii="Arial" w:hAnsi="Arial" w:cs="Arial"/>
      <w:b/>
      <w:sz w:val="24"/>
      <w:szCs w:val="24"/>
    </w:rPr>
  </w:style>
  <w:style w:type="numbering" w:customStyle="1" w:styleId="BAFUTitelhierarchie">
    <w:name w:val="BAFU_Titelhierarchie"/>
    <w:uiPriority w:val="99"/>
    <w:rsid w:val="006E2C99"/>
    <w:pPr>
      <w:numPr>
        <w:numId w:val="4"/>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semiHidden/>
    <w:unhideWhenUsed/>
    <w:rsid w:val="00252555"/>
    <w:pPr>
      <w:spacing w:after="0" w:line="240" w:lineRule="auto"/>
    </w:pPr>
    <w:rPr>
      <w:sz w:val="20"/>
      <w:szCs w:val="20"/>
    </w:rPr>
  </w:style>
  <w:style w:type="character" w:customStyle="1" w:styleId="FunotentextZchn">
    <w:name w:val="Fußnotentext Zchn"/>
    <w:basedOn w:val="Absatz-Standardschriftart"/>
    <w:link w:val="Funotentext"/>
    <w:semiHidden/>
    <w:rsid w:val="0060561E"/>
    <w:rPr>
      <w:sz w:val="20"/>
      <w:szCs w:val="20"/>
    </w:rPr>
  </w:style>
  <w:style w:type="character" w:styleId="Funotenzeichen">
    <w:name w:val="footnote reference"/>
    <w:basedOn w:val="Absatz-Standardschriftart"/>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14"/>
      </w:numPr>
      <w:ind w:left="199" w:hanging="199"/>
    </w:pPr>
  </w:style>
  <w:style w:type="paragraph" w:customStyle="1" w:styleId="05BAFUGrundschriftAufzhlung">
    <w:name w:val="05_BAFU_Grundschrift Aufzählung"/>
    <w:basedOn w:val="05BAFUGrundschriftAufzhlungletzte"/>
    <w:qFormat/>
    <w:rsid w:val="007F5163"/>
    <w:pPr>
      <w:spacing w:after="0"/>
      <w:ind w:left="198" w:hanging="198"/>
    </w:pPr>
  </w:style>
  <w:style w:type="paragraph" w:customStyle="1" w:styleId="05BAFUGrundschriftAufzhlung2Hierarchie">
    <w:name w:val="05_BAFU_Grundschrift Aufzählung 2. Hierarchie"/>
    <w:basedOn w:val="05BAFUGrundschriftAufzhlung"/>
    <w:qFormat/>
    <w:rsid w:val="009E4826"/>
    <w:pPr>
      <w:numPr>
        <w:ilvl w:val="1"/>
        <w:numId w:val="17"/>
      </w:numPr>
      <w:ind w:left="396" w:hanging="198"/>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24"/>
      </w:numPr>
      <w:ind w:left="85" w:hanging="85"/>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 w:type="paragraph" w:customStyle="1" w:styleId="Tabellenormal">
    <w:name w:val="Tabelle normal"/>
    <w:basedOn w:val="Standard"/>
    <w:rsid w:val="00562F45"/>
    <w:pPr>
      <w:pBdr>
        <w:top w:val="single" w:sz="4" w:space="6" w:color="auto"/>
        <w:left w:val="single" w:sz="4" w:space="6" w:color="auto"/>
        <w:bottom w:val="single" w:sz="4" w:space="6" w:color="auto"/>
        <w:right w:val="single" w:sz="4" w:space="6" w:color="auto"/>
      </w:pBdr>
      <w:tabs>
        <w:tab w:val="left" w:pos="567"/>
      </w:tabs>
      <w:spacing w:before="20" w:after="20" w:line="240" w:lineRule="exact"/>
    </w:pPr>
    <w:rPr>
      <w:rFonts w:ascii="Arial Narrow" w:eastAsia="Times" w:hAnsi="Arial Narrow" w:cs="Times New Roman"/>
      <w:sz w:val="18"/>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17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bafu.admin.ch/bafu/en/home/topics/biotechnology/publications-studies/publications/biosafety-officers-bso.html" TargetMode="External"/><Relationship Id="rId2" Type="http://schemas.openxmlformats.org/officeDocument/2006/relationships/hyperlink" Target="http://www.umwelt-schweiz.ch/buwal/de/fachgebiete/fg_biotechnologie/index.html" TargetMode="External"/><Relationship Id="rId1" Type="http://schemas.openxmlformats.org/officeDocument/2006/relationships/hyperlink" Target="http://www.umwelt-schweiz.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P:\Projekte\Publishing\Publikationen\UV%200817%20Aktualisierung%20Betr.%20Sicherheitskonzept%20(ESV)\03-Layout\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13D85-E0C0-4AC3-98CF-FC4AC6F9E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Template>
  <TotalTime>0</TotalTime>
  <Pages>2</Pages>
  <Words>583</Words>
  <Characters>3677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Administrator</cp:lastModifiedBy>
  <cp:revision>9</cp:revision>
  <cp:lastPrinted>2019-09-05T12:42:00Z</cp:lastPrinted>
  <dcterms:created xsi:type="dcterms:W3CDTF">2020-02-04T16:35:00Z</dcterms:created>
  <dcterms:modified xsi:type="dcterms:W3CDTF">2020-02-04T16:51:00Z</dcterms:modified>
</cp:coreProperties>
</file>