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BD4562" w:rsidRDefault="009E4C68" w:rsidP="009E4C68">
      <w:pPr>
        <w:pStyle w:val="01BAFUKapiteltitelnummeriert"/>
        <w:numPr>
          <w:ilvl w:val="0"/>
          <w:numId w:val="0"/>
        </w:numPr>
        <w:rPr>
          <w:lang w:val="en-GB"/>
        </w:rPr>
      </w:pPr>
      <w:bookmarkStart w:id="0" w:name="_Toc12457507"/>
      <w:r w:rsidRPr="00BD4562">
        <w:rPr>
          <w:color w:val="B6BDBB"/>
          <w:lang w:val="en-GB"/>
        </w:rPr>
        <w:t>An</w:t>
      </w:r>
      <w:r w:rsidR="00BD4562" w:rsidRPr="00BD4562">
        <w:rPr>
          <w:color w:val="B6BDBB"/>
          <w:lang w:val="en-GB"/>
        </w:rPr>
        <w:t>nex</w:t>
      </w:r>
      <w:r w:rsidRPr="00BD4562">
        <w:rPr>
          <w:color w:val="B6BDBB"/>
          <w:lang w:val="en-GB"/>
        </w:rPr>
        <w:t xml:space="preserve"> </w:t>
      </w:r>
      <w:r w:rsidR="004719B0" w:rsidRPr="00BD4562">
        <w:rPr>
          <w:color w:val="B6BDBB"/>
          <w:lang w:val="en-GB"/>
        </w:rPr>
        <w:t>11</w:t>
      </w:r>
      <w:r w:rsidRPr="00BD4562">
        <w:rPr>
          <w:lang w:val="en-GB"/>
        </w:rPr>
        <w:t xml:space="preserve"> </w:t>
      </w:r>
      <w:r w:rsidRPr="00BD4562">
        <w:rPr>
          <w:lang w:val="en-GB"/>
        </w:rPr>
        <w:br/>
      </w:r>
      <w:bookmarkEnd w:id="0"/>
      <w:r w:rsidR="00BD4562" w:rsidRPr="00BD4562">
        <w:rPr>
          <w:lang w:val="en-GB"/>
        </w:rPr>
        <w:t>Measures to prevent infectious diseases transmissible by blood</w:t>
      </w:r>
    </w:p>
    <w:p w:rsidR="00BD4562" w:rsidRPr="00261810" w:rsidRDefault="00BD4562" w:rsidP="00261810">
      <w:pPr>
        <w:pStyle w:val="05BAFUGrundschrift"/>
        <w:spacing w:after="566"/>
        <w:rPr>
          <w:b/>
          <w:color w:val="6C9051" w:themeColor="accent2" w:themeShade="BF"/>
          <w:lang w:val="en-GB"/>
        </w:rPr>
      </w:pPr>
      <w:r w:rsidRPr="00261810">
        <w:rPr>
          <w:b/>
          <w:color w:val="6C9051" w:themeColor="accent2" w:themeShade="BF"/>
          <w:lang w:val="en-GB"/>
        </w:rPr>
        <w:t>Parts of this template are based on the Suva publication “</w:t>
      </w:r>
      <w:proofErr w:type="spellStart"/>
      <w:r w:rsidRPr="00261810">
        <w:rPr>
          <w:b/>
          <w:color w:val="6C9051" w:themeColor="accent2" w:themeShade="BF"/>
          <w:lang w:val="en-GB"/>
        </w:rPr>
        <w:t>Verhütung</w:t>
      </w:r>
      <w:proofErr w:type="spellEnd"/>
      <w:r w:rsidRPr="00261810">
        <w:rPr>
          <w:b/>
          <w:color w:val="6C9051" w:themeColor="accent2" w:themeShade="BF"/>
          <w:lang w:val="en-GB"/>
        </w:rPr>
        <w:t xml:space="preserve"> </w:t>
      </w:r>
      <w:proofErr w:type="spellStart"/>
      <w:r w:rsidRPr="00261810">
        <w:rPr>
          <w:b/>
          <w:color w:val="6C9051" w:themeColor="accent2" w:themeShade="BF"/>
          <w:lang w:val="en-GB"/>
        </w:rPr>
        <w:t>blutübertragbarer</w:t>
      </w:r>
      <w:proofErr w:type="spellEnd"/>
      <w:r w:rsidRPr="00261810">
        <w:rPr>
          <w:b/>
          <w:color w:val="6C9051" w:themeColor="accent2" w:themeShade="BF"/>
          <w:lang w:val="en-GB"/>
        </w:rPr>
        <w:t xml:space="preserve"> </w:t>
      </w:r>
      <w:proofErr w:type="spellStart"/>
      <w:r w:rsidRPr="00261810">
        <w:rPr>
          <w:b/>
          <w:color w:val="6C9051" w:themeColor="accent2" w:themeShade="BF"/>
          <w:lang w:val="en-GB"/>
        </w:rPr>
        <w:t>Infektionen</w:t>
      </w:r>
      <w:proofErr w:type="spellEnd"/>
      <w:r w:rsidRPr="00261810">
        <w:rPr>
          <w:b/>
          <w:color w:val="6C9051" w:themeColor="accent2" w:themeShade="BF"/>
          <w:lang w:val="en-GB"/>
        </w:rPr>
        <w:t xml:space="preserve"> </w:t>
      </w:r>
      <w:proofErr w:type="spellStart"/>
      <w:r w:rsidRPr="00261810">
        <w:rPr>
          <w:b/>
          <w:color w:val="6C9051" w:themeColor="accent2" w:themeShade="BF"/>
          <w:lang w:val="en-GB"/>
        </w:rPr>
        <w:t>im</w:t>
      </w:r>
      <w:proofErr w:type="spellEnd"/>
      <w:r w:rsidRPr="00261810">
        <w:rPr>
          <w:b/>
          <w:color w:val="6C9051" w:themeColor="accent2" w:themeShade="BF"/>
          <w:lang w:val="en-GB"/>
        </w:rPr>
        <w:t xml:space="preserve"> Gesundheitswesen” </w:t>
      </w:r>
      <w:r w:rsidRPr="00261810">
        <w:rPr>
          <w:rStyle w:val="Funotenzeichen"/>
          <w:b/>
          <w:color w:val="6C9051" w:themeColor="accent2" w:themeShade="BF"/>
          <w:lang w:val="en-GB"/>
        </w:rPr>
        <w:footnoteReference w:id="1"/>
      </w:r>
      <w:r w:rsidRPr="00261810">
        <w:rPr>
          <w:b/>
          <w:color w:val="6C9051" w:themeColor="accent2" w:themeShade="BF"/>
          <w:lang w:val="en-GB"/>
        </w:rPr>
        <w:t xml:space="preserve"> and must be adapted to the situation in the particular plant.</w:t>
      </w:r>
    </w:p>
    <w:p w:rsidR="001964B7" w:rsidRDefault="001964B7" w:rsidP="001964B7">
      <w:pPr>
        <w:pStyle w:val="02BAFUTitelnummeriert"/>
        <w:rPr>
          <w:lang w:val="en-GB"/>
        </w:rPr>
      </w:pPr>
      <w:r>
        <w:rPr>
          <w:lang w:val="en-GB"/>
        </w:rPr>
        <w:t>Background</w:t>
      </w:r>
    </w:p>
    <w:p w:rsidR="001964B7" w:rsidRDefault="001964B7" w:rsidP="001964B7">
      <w:pPr>
        <w:pStyle w:val="05BAFUGrundschrift"/>
        <w:rPr>
          <w:strike/>
          <w:lang w:val="en-GB"/>
        </w:rPr>
      </w:pPr>
      <w:r>
        <w:rPr>
          <w:lang w:val="en-GB"/>
        </w:rPr>
        <w:t xml:space="preserve">This leaflet is aimed at people employed at </w:t>
      </w:r>
      <w:r w:rsidRPr="001964B7">
        <w:rPr>
          <w:b/>
          <w:color w:val="6C9051" w:themeColor="accent2" w:themeShade="BF"/>
        </w:rPr>
        <w:t>(company name)</w:t>
      </w:r>
      <w:r w:rsidRPr="001964B7">
        <w:rPr>
          <w:color w:val="6C9051" w:themeColor="accent2" w:themeShade="BF"/>
          <w:lang w:val="en-GB"/>
        </w:rPr>
        <w:t xml:space="preserve"> </w:t>
      </w:r>
      <w:r>
        <w:rPr>
          <w:lang w:val="en-GB"/>
        </w:rPr>
        <w:t>who work with blood and other body fluids, especially laboratory personnel and cleaning service staff.</w:t>
      </w:r>
    </w:p>
    <w:tbl>
      <w:tblPr>
        <w:tblStyle w:val="Tabellenraster"/>
        <w:tblW w:w="9989" w:type="dxa"/>
        <w:tblCellMar>
          <w:top w:w="85" w:type="dxa"/>
          <w:left w:w="85" w:type="dxa"/>
          <w:bottom w:w="85" w:type="dxa"/>
          <w:right w:w="85" w:type="dxa"/>
        </w:tblCellMar>
        <w:tblLook w:val="04A0" w:firstRow="1" w:lastRow="0" w:firstColumn="1" w:lastColumn="0" w:noHBand="0" w:noVBand="1"/>
      </w:tblPr>
      <w:tblGrid>
        <w:gridCol w:w="9989"/>
      </w:tblGrid>
      <w:tr w:rsidR="00823C05" w:rsidRPr="00823C05" w:rsidTr="00E3258B">
        <w:trPr>
          <w:trHeight w:val="1145"/>
        </w:trPr>
        <w:tc>
          <w:tcPr>
            <w:tcW w:w="9989" w:type="dxa"/>
            <w:tcBorders>
              <w:top w:val="nil"/>
              <w:left w:val="nil"/>
              <w:bottom w:val="nil"/>
              <w:right w:val="nil"/>
            </w:tcBorders>
            <w:shd w:val="clear" w:color="auto" w:fill="F2F2F2" w:themeFill="background1" w:themeFillShade="F2"/>
            <w:vAlign w:val="center"/>
          </w:tcPr>
          <w:p w:rsidR="00823C05" w:rsidRPr="00823C05" w:rsidRDefault="00823C05" w:rsidP="00823C05">
            <w:pPr>
              <w:pStyle w:val="05BAFUGrundschriftohneAbstanddanach"/>
              <w:rPr>
                <w:lang w:val="en-GB"/>
              </w:rPr>
            </w:pPr>
            <w:r w:rsidRPr="00823C05">
              <w:rPr>
                <w:lang w:val="en-GB"/>
              </w:rPr>
              <w:t>Infectious diseases, pathogens of which are contained in the blood, can be transmitted by blood or other body fluids which contain blood: e.g. through stab wounds, cuts, splashes into the eyes and onto the mucous membranes of the mouth as well as through contact with broken skin (open wounds).</w:t>
            </w:r>
          </w:p>
          <w:p w:rsidR="00823C05" w:rsidRPr="00823C05" w:rsidRDefault="00823C05" w:rsidP="00E3258B">
            <w:pPr>
              <w:pStyle w:val="05BAFUGrundschriftohneAbstanddanach"/>
              <w:rPr>
                <w:b/>
                <w:lang w:val="en-GB"/>
              </w:rPr>
            </w:pPr>
            <w:r w:rsidRPr="00823C05">
              <w:rPr>
                <w:b/>
                <w:lang w:val="en-GB"/>
              </w:rPr>
              <w:t>Blood and body fluids containing blood must al</w:t>
            </w:r>
            <w:r>
              <w:rPr>
                <w:b/>
                <w:lang w:val="en-GB"/>
              </w:rPr>
              <w:t>ways be regarded as infectious!</w:t>
            </w:r>
          </w:p>
        </w:tc>
      </w:tr>
    </w:tbl>
    <w:p w:rsidR="00823C05" w:rsidRPr="00823C05" w:rsidRDefault="00823C05" w:rsidP="001964B7">
      <w:pPr>
        <w:rPr>
          <w:lang w:val="en-GB"/>
        </w:rPr>
      </w:pPr>
    </w:p>
    <w:p w:rsidR="001964B7" w:rsidRDefault="001964B7" w:rsidP="001858D8">
      <w:pPr>
        <w:pStyle w:val="05BAFUGrundschrift"/>
        <w:rPr>
          <w:lang w:val="en-GB"/>
        </w:rPr>
      </w:pPr>
      <w:r>
        <w:rPr>
          <w:lang w:val="en-GB"/>
        </w:rPr>
        <w:t>The only people who work</w:t>
      </w:r>
      <w:r>
        <w:rPr>
          <w:b/>
          <w:lang w:val="en-GB"/>
        </w:rPr>
        <w:t xml:space="preserve"> in working areas with a high risk of infection </w:t>
      </w:r>
      <w:r>
        <w:rPr>
          <w:lang w:val="en-GB"/>
        </w:rPr>
        <w:t xml:space="preserve">are those who </w:t>
      </w:r>
      <w:proofErr w:type="gramStart"/>
      <w:r>
        <w:rPr>
          <w:lang w:val="en-GB"/>
        </w:rPr>
        <w:t>have been instructed</w:t>
      </w:r>
      <w:proofErr w:type="gramEnd"/>
      <w:r>
        <w:rPr>
          <w:lang w:val="en-GB"/>
        </w:rPr>
        <w:t xml:space="preserve"> about possible dangers from infectious diseases in the course of their work, measures to prevent exposure, hygiene regulations, the wearing and use of protective equipment and protective clothing, and action in the event of incidents. Stab wounds and cuts are prevented by technical means and appropriate equipment.</w:t>
      </w:r>
    </w:p>
    <w:p w:rsidR="001964B7" w:rsidRDefault="001964B7" w:rsidP="00815E0C">
      <w:pPr>
        <w:pStyle w:val="05BAFUGrundschrift"/>
        <w:spacing w:after="566"/>
        <w:rPr>
          <w:lang w:val="en-GB"/>
        </w:rPr>
      </w:pPr>
      <w:r>
        <w:rPr>
          <w:lang w:val="en-GB"/>
        </w:rPr>
        <w:t xml:space="preserve">Employees who, on the basis of experience, are exposed to a higher risk of stab wounds and cuts from items contaminated with blood or who have foreseeable contact with blood are </w:t>
      </w:r>
      <w:r>
        <w:rPr>
          <w:b/>
          <w:lang w:val="en-GB"/>
        </w:rPr>
        <w:t>inoculated against hepatitis B</w:t>
      </w:r>
      <w:r>
        <w:rPr>
          <w:lang w:val="en-GB"/>
        </w:rPr>
        <w:t xml:space="preserve"> at </w:t>
      </w:r>
      <w:r w:rsidRPr="001858D8">
        <w:rPr>
          <w:b/>
          <w:color w:val="6C9051" w:themeColor="accent2" w:themeShade="BF"/>
        </w:rPr>
        <w:t>(company name).</w:t>
      </w:r>
    </w:p>
    <w:p w:rsidR="001964B7" w:rsidRDefault="001964B7" w:rsidP="00815E0C">
      <w:pPr>
        <w:pStyle w:val="02BAFUTitelnummeriert"/>
        <w:spacing w:after="0"/>
        <w:ind w:left="357" w:hanging="357"/>
        <w:rPr>
          <w:lang w:val="en-GB"/>
        </w:rPr>
      </w:pPr>
      <w:r>
        <w:rPr>
          <w:lang w:val="en-GB"/>
        </w:rPr>
        <w:t>Rules of conduct for laboratory personnel</w:t>
      </w:r>
    </w:p>
    <w:p w:rsidR="001964B7" w:rsidRDefault="001964B7" w:rsidP="00815E0C">
      <w:pPr>
        <w:pStyle w:val="05BAFUGrundschrift"/>
        <w:rPr>
          <w:lang w:val="en-GB"/>
        </w:rPr>
      </w:pPr>
      <w:r>
        <w:rPr>
          <w:lang w:val="en-GB"/>
        </w:rPr>
        <w:t xml:space="preserve">To protect yourself and others (especially laboratory personnel and cleaning staff) against infectious diseases which can be transmitted through blood, </w:t>
      </w:r>
      <w:r>
        <w:rPr>
          <w:b/>
          <w:lang w:val="en-GB"/>
        </w:rPr>
        <w:t>the following basic rules of conduct</w:t>
      </w:r>
      <w:r>
        <w:rPr>
          <w:lang w:val="en-GB"/>
        </w:rPr>
        <w:t xml:space="preserve"> must be followed:</w:t>
      </w:r>
    </w:p>
    <w:p w:rsidR="001964B7" w:rsidRDefault="001964B7" w:rsidP="00D1581A">
      <w:pPr>
        <w:pStyle w:val="05BAFUGrundschriftAufzhlung"/>
        <w:ind w:left="357" w:hanging="357"/>
        <w:rPr>
          <w:lang w:val="en-GB"/>
        </w:rPr>
      </w:pPr>
      <w:r>
        <w:rPr>
          <w:lang w:val="en-GB"/>
        </w:rPr>
        <w:t xml:space="preserve">Avoid stab wounds and cuts: only place protective covers over used </w:t>
      </w:r>
      <w:proofErr w:type="spellStart"/>
      <w:r>
        <w:rPr>
          <w:lang w:val="en-GB"/>
        </w:rPr>
        <w:t>cannulae</w:t>
      </w:r>
      <w:proofErr w:type="spellEnd"/>
      <w:r>
        <w:rPr>
          <w:lang w:val="en-GB"/>
        </w:rPr>
        <w:t xml:space="preserve"> if absolutely necessary, preferably using a mechanical aid or the one-handed technique, but never with both hands (no two-handed recapping). </w:t>
      </w:r>
    </w:p>
    <w:p w:rsidR="001964B7" w:rsidRDefault="001964B7" w:rsidP="00D1581A">
      <w:pPr>
        <w:pStyle w:val="05BAFUGrundschriftAufzhlung"/>
        <w:ind w:left="357" w:hanging="357"/>
        <w:rPr>
          <w:lang w:val="en-GB"/>
        </w:rPr>
      </w:pPr>
      <w:r>
        <w:rPr>
          <w:lang w:val="en-GB"/>
        </w:rPr>
        <w:t xml:space="preserve">Items contaminated with blood which pose a risk of injury (e.g. used </w:t>
      </w:r>
      <w:proofErr w:type="spellStart"/>
      <w:r>
        <w:rPr>
          <w:lang w:val="en-GB"/>
        </w:rPr>
        <w:t>cannulae</w:t>
      </w:r>
      <w:proofErr w:type="spellEnd"/>
      <w:r>
        <w:rPr>
          <w:lang w:val="en-GB"/>
        </w:rPr>
        <w:t xml:space="preserve"> and sharp disposable utensils) must be disposed of in unbreakable, puncture-resistant and closable containers. Hand over the containers for disposal no more than 2/3 full, tightly closed and marked as a biohazard. </w:t>
      </w:r>
    </w:p>
    <w:p w:rsidR="001964B7" w:rsidRDefault="001964B7" w:rsidP="00D1581A">
      <w:pPr>
        <w:pStyle w:val="05BAFUGrundschriftAufzhlung"/>
        <w:ind w:left="357" w:hanging="357"/>
        <w:rPr>
          <w:lang w:val="en-GB"/>
        </w:rPr>
      </w:pPr>
      <w:r>
        <w:rPr>
          <w:lang w:val="en-GB"/>
        </w:rPr>
        <w:t xml:space="preserve">Disposable gloves are to be worn for activities involving possible contact with blood or body fluids. When disposing of the gloves, turn them </w:t>
      </w:r>
      <w:proofErr w:type="gramStart"/>
      <w:r>
        <w:rPr>
          <w:lang w:val="en-GB"/>
        </w:rPr>
        <w:t>inside-out</w:t>
      </w:r>
      <w:proofErr w:type="gramEnd"/>
      <w:r>
        <w:rPr>
          <w:lang w:val="en-GB"/>
        </w:rPr>
        <w:t>, so the outside, contaminated glove surface is on the inside. Wash and moisturize hands.</w:t>
      </w:r>
    </w:p>
    <w:p w:rsidR="001964B7" w:rsidRDefault="001964B7" w:rsidP="00D1581A">
      <w:pPr>
        <w:pStyle w:val="05BAFUGrundschriftAufzhlung"/>
        <w:ind w:left="357" w:hanging="357"/>
        <w:rPr>
          <w:lang w:val="en-GB"/>
        </w:rPr>
      </w:pPr>
      <w:r>
        <w:rPr>
          <w:lang w:val="en-GB"/>
        </w:rPr>
        <w:t xml:space="preserve">Always wear eye protection and a respirator when carrying out tasks which could cause splashes. </w:t>
      </w:r>
    </w:p>
    <w:p w:rsidR="009174CF" w:rsidRPr="009174CF" w:rsidRDefault="001964B7" w:rsidP="00D1581A">
      <w:pPr>
        <w:pStyle w:val="05BAFUGrundschriftAufzhlung"/>
        <w:ind w:left="357" w:hanging="357"/>
        <w:rPr>
          <w:lang w:val="en-GB"/>
        </w:rPr>
      </w:pPr>
      <w:r>
        <w:rPr>
          <w:lang w:val="en-GB"/>
        </w:rPr>
        <w:t>Disinfect and/or sterilize protective clothing and other materi</w:t>
      </w:r>
      <w:r w:rsidR="009174CF">
        <w:rPr>
          <w:lang w:val="en-GB"/>
        </w:rPr>
        <w:t>al which might be contaminated.</w:t>
      </w:r>
    </w:p>
    <w:p w:rsidR="009174CF" w:rsidRDefault="009174CF" w:rsidP="009174CF">
      <w:pPr>
        <w:pStyle w:val="05BAFUGrundschrift"/>
        <w:rPr>
          <w:lang w:val="en-GB"/>
        </w:rPr>
      </w:pPr>
    </w:p>
    <w:p w:rsidR="009174CF" w:rsidRDefault="009174CF" w:rsidP="00C97018">
      <w:pPr>
        <w:pStyle w:val="02BAFUTitelnummeriert"/>
        <w:spacing w:after="0"/>
        <w:ind w:left="357" w:hanging="357"/>
        <w:rPr>
          <w:lang w:val="en-GB"/>
        </w:rPr>
      </w:pPr>
      <w:r>
        <w:rPr>
          <w:lang w:val="en-GB"/>
        </w:rPr>
        <w:t xml:space="preserve">Rules </w:t>
      </w:r>
      <w:r w:rsidRPr="009174CF">
        <w:rPr>
          <w:lang w:val="en-GB"/>
        </w:rPr>
        <w:t>of conduct for the cleaning staff</w:t>
      </w:r>
    </w:p>
    <w:p w:rsidR="001964B7" w:rsidRDefault="001964B7" w:rsidP="009174CF">
      <w:pPr>
        <w:pStyle w:val="05BAFUGrundschrift"/>
        <w:rPr>
          <w:snapToGrid w:val="0"/>
          <w:lang w:val="en-GB"/>
        </w:rPr>
      </w:pPr>
      <w:r>
        <w:rPr>
          <w:snapToGrid w:val="0"/>
          <w:lang w:val="en-GB"/>
        </w:rPr>
        <w:t>People entrusted with cleaning duties should be informed about the dangers of stab wounds and cuts. In particular, these people must be instructed that any refuse bag could contain items/ instruments capable of piercing or cutting and that appropriate precautions must be taken when disposing of refuse bags:</w:t>
      </w:r>
    </w:p>
    <w:p w:rsidR="001964B7" w:rsidRDefault="001964B7" w:rsidP="00C97018">
      <w:pPr>
        <w:pStyle w:val="05BAFUGrundschriftAufzhlung"/>
        <w:ind w:left="357" w:hanging="357"/>
        <w:rPr>
          <w:lang w:val="en-GB"/>
        </w:rPr>
      </w:pPr>
      <w:r>
        <w:rPr>
          <w:lang w:val="en-GB"/>
        </w:rPr>
        <w:t>Never press waste bags down by hand.</w:t>
      </w:r>
    </w:p>
    <w:p w:rsidR="001964B7" w:rsidRDefault="001964B7" w:rsidP="00C97018">
      <w:pPr>
        <w:pStyle w:val="05BAFUGrundschriftAufzhlung"/>
        <w:ind w:left="357" w:hanging="357"/>
        <w:rPr>
          <w:lang w:val="en-GB"/>
        </w:rPr>
      </w:pPr>
      <w:r>
        <w:rPr>
          <w:lang w:val="en-GB"/>
        </w:rPr>
        <w:t>When emptying waste bins, never put bare hands or even hands protected by gloves into the bins.</w:t>
      </w:r>
    </w:p>
    <w:p w:rsidR="001964B7" w:rsidRDefault="001964B7" w:rsidP="00C97018">
      <w:pPr>
        <w:pStyle w:val="05BAFUGrundschriftAufzhlung"/>
        <w:ind w:left="357" w:hanging="357"/>
        <w:rPr>
          <w:lang w:val="en-GB"/>
        </w:rPr>
      </w:pPr>
      <w:r>
        <w:rPr>
          <w:lang w:val="en-GB"/>
        </w:rPr>
        <w:t>Only grasp waste bags near to the closure. Waste bins without a liner must be emptied by being tipped over.</w:t>
      </w:r>
    </w:p>
    <w:p w:rsidR="001964B7" w:rsidRDefault="001964B7" w:rsidP="00C97018">
      <w:pPr>
        <w:pStyle w:val="05BAFUGrundschriftAufzhlungletzte"/>
        <w:ind w:left="357" w:hanging="357"/>
        <w:rPr>
          <w:lang w:val="en-GB"/>
        </w:rPr>
      </w:pPr>
      <w:r>
        <w:rPr>
          <w:lang w:val="en-GB"/>
        </w:rPr>
        <w:t>Wear liquid-proof protective gloves and dispose of them after work – then wash hands thoroughly and moisturize them.</w:t>
      </w:r>
    </w:p>
    <w:p w:rsidR="001964B7" w:rsidRDefault="001964B7" w:rsidP="00C97018">
      <w:pPr>
        <w:pStyle w:val="02BAFUTitelnummeriert"/>
        <w:rPr>
          <w:lang w:val="en-GB"/>
        </w:rPr>
      </w:pPr>
      <w:r>
        <w:rPr>
          <w:lang w:val="en-GB"/>
        </w:rPr>
        <w:t>Action following an incident with possible transmission of infection</w:t>
      </w:r>
    </w:p>
    <w:p w:rsidR="001964B7" w:rsidRDefault="001964B7" w:rsidP="003276F8">
      <w:pPr>
        <w:pStyle w:val="05BAFUGrundschrift"/>
        <w:rPr>
          <w:lang w:val="en-GB"/>
        </w:rPr>
      </w:pPr>
      <w:r>
        <w:rPr>
          <w:lang w:val="en-GB"/>
        </w:rPr>
        <w:t>The following immediate action should be taken after an incident with possible transmission of infection:</w:t>
      </w:r>
    </w:p>
    <w:p w:rsidR="001964B7" w:rsidRDefault="001964B7" w:rsidP="003276F8">
      <w:pPr>
        <w:pStyle w:val="05BAFUGrundschriftAufzhlung"/>
        <w:ind w:left="357" w:hanging="357"/>
        <w:rPr>
          <w:lang w:val="en-GB"/>
        </w:rPr>
      </w:pPr>
      <w:r>
        <w:rPr>
          <w:lang w:val="en-GB"/>
        </w:rPr>
        <w:t>Wash hands and contaminated areas of skin immediately with soap and water and/or disinfect them.</w:t>
      </w:r>
    </w:p>
    <w:p w:rsidR="001964B7" w:rsidRDefault="001964B7" w:rsidP="003276F8">
      <w:pPr>
        <w:pStyle w:val="05BAFUGrundschriftAufzhlung"/>
        <w:ind w:left="357" w:hanging="357"/>
        <w:rPr>
          <w:lang w:val="en-GB"/>
        </w:rPr>
      </w:pPr>
      <w:r>
        <w:rPr>
          <w:lang w:val="en-GB"/>
        </w:rPr>
        <w:t>If the eyes or mucous membranes have been in contact with blood or with body fluids containing blood, rinse them immediately with plenty of water or a physiological liquid.</w:t>
      </w:r>
    </w:p>
    <w:p w:rsidR="001964B7" w:rsidRDefault="001964B7" w:rsidP="003276F8">
      <w:pPr>
        <w:pStyle w:val="05BAFUGrundschriftAufzhlung"/>
        <w:ind w:left="357" w:hanging="357"/>
        <w:rPr>
          <w:lang w:val="en-GB"/>
        </w:rPr>
      </w:pPr>
      <w:r>
        <w:rPr>
          <w:lang w:val="en-GB"/>
        </w:rPr>
        <w:t xml:space="preserve">In the event of an incident in which there is a risk of infection through blood (stab wound, cut, splash onto a mucous membrane or contact between blood and open, injured skin), proceed according to </w:t>
      </w:r>
      <w:r>
        <w:rPr>
          <w:i/>
          <w:lang w:val="en-GB"/>
        </w:rPr>
        <w:t>Emergency planning: action in the event of incidents in the laboratory</w:t>
      </w:r>
      <w:r>
        <w:rPr>
          <w:lang w:val="en-GB"/>
        </w:rPr>
        <w:t>.</w:t>
      </w:r>
    </w:p>
    <w:p w:rsidR="001964B7" w:rsidRDefault="001964B7" w:rsidP="003276F8">
      <w:pPr>
        <w:pStyle w:val="05BAFUGrundschriftAufzhlung"/>
        <w:spacing w:after="283"/>
        <w:ind w:left="357" w:hanging="357"/>
        <w:rPr>
          <w:lang w:val="en-GB"/>
        </w:rPr>
      </w:pPr>
      <w:r>
        <w:rPr>
          <w:lang w:val="en-GB"/>
        </w:rPr>
        <w:t>Report stab wounds, cuts and splashes</w:t>
      </w:r>
      <w:r>
        <w:rPr>
          <w:rStyle w:val="Funotenzeichen"/>
          <w:lang w:val="en-GB"/>
        </w:rPr>
        <w:footnoteReference w:id="2"/>
      </w:r>
      <w:r>
        <w:rPr>
          <w:lang w:val="en-GB"/>
        </w:rPr>
        <w:t xml:space="preserve"> to the managers and Biosafety Officers without delay using the </w:t>
      </w:r>
      <w:r>
        <w:rPr>
          <w:i/>
          <w:lang w:val="en-GB"/>
        </w:rPr>
        <w:t>Report sheet for laboratory incidents</w:t>
      </w:r>
      <w:r>
        <w:rPr>
          <w:lang w:val="en-GB"/>
        </w:rPr>
        <w:t>.</w:t>
      </w:r>
    </w:p>
    <w:p w:rsidR="007D383C" w:rsidRPr="001964B7" w:rsidRDefault="001964B7" w:rsidP="001964B7">
      <w:pPr>
        <w:pStyle w:val="05BAFUGrundschrift"/>
        <w:rPr>
          <w:lang w:val="en-GB"/>
        </w:rPr>
      </w:pPr>
      <w:r>
        <w:rPr>
          <w:lang w:val="en-GB"/>
        </w:rPr>
        <w:t>Contact your line managers in the event of any uncertainty or if you have any questions</w:t>
      </w:r>
      <w:r w:rsidR="007C375B" w:rsidRPr="001964B7">
        <w:rPr>
          <w:lang w:val="en-GB"/>
        </w:rPr>
        <w:t>.</w:t>
      </w: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203AE3" w:rsidRPr="00843E20" w:rsidTr="00592236">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203AE3" w:rsidRPr="00CF6289" w:rsidRDefault="003276F8" w:rsidP="005C05FC">
            <w:pPr>
              <w:pStyle w:val="07BAFUTabellelinks"/>
            </w:pPr>
            <w:r w:rsidRPr="003276F8">
              <w:rPr>
                <w:color w:val="6C9051" w:themeColor="accent2" w:themeShade="BF"/>
                <w:lang w:val="en-GB"/>
              </w:rPr>
              <w:t>Compiled / authorized</w:t>
            </w:r>
          </w:p>
        </w:tc>
        <w:tc>
          <w:tcPr>
            <w:tcW w:w="7487" w:type="dxa"/>
            <w:tcBorders>
              <w:bottom w:val="nil"/>
              <w:right w:val="single" w:sz="4" w:space="0" w:color="FFFFFF" w:themeColor="background1"/>
            </w:tcBorders>
            <w:shd w:val="clear" w:color="auto" w:fill="F2F2F2" w:themeFill="background1" w:themeFillShade="F2"/>
          </w:tcPr>
          <w:p w:rsidR="00203AE3" w:rsidRPr="00CF6289" w:rsidRDefault="00203AE3" w:rsidP="005C05FC">
            <w:pPr>
              <w:pStyle w:val="07BAFUTabellelinks"/>
              <w:cnfStyle w:val="100000000000" w:firstRow="1" w:lastRow="0" w:firstColumn="0" w:lastColumn="0" w:oddVBand="0" w:evenVBand="0" w:oddHBand="0" w:evenHBand="0" w:firstRowFirstColumn="0" w:firstRowLastColumn="0" w:lastRowFirstColumn="0" w:lastRowLastColumn="0"/>
            </w:pPr>
          </w:p>
        </w:tc>
      </w:tr>
      <w:tr w:rsidR="00203AE3" w:rsidRPr="00843E20" w:rsidTr="00592236">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203AE3" w:rsidRPr="00CF6289" w:rsidRDefault="003276F8" w:rsidP="005C05FC">
            <w:pPr>
              <w:pStyle w:val="07BAFUTabellelinks"/>
            </w:pPr>
            <w:r>
              <w:rPr>
                <w:color w:val="6C9051" w:themeColor="accent2" w:themeShade="BF"/>
              </w:rPr>
              <w:t>Date</w:t>
            </w:r>
          </w:p>
        </w:tc>
        <w:tc>
          <w:tcPr>
            <w:tcW w:w="7487" w:type="dxa"/>
            <w:tcBorders>
              <w:top w:val="nil"/>
              <w:bottom w:val="nil"/>
              <w:right w:val="single" w:sz="4" w:space="0" w:color="FFFFFF" w:themeColor="background1"/>
            </w:tcBorders>
          </w:tcPr>
          <w:p w:rsidR="00203AE3" w:rsidRPr="00CF6289" w:rsidRDefault="00203AE3" w:rsidP="005C05FC">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68" w:rsidRDefault="009E4C68" w:rsidP="00DE38F1">
      <w:pPr>
        <w:spacing w:after="0" w:line="240" w:lineRule="auto"/>
      </w:pPr>
      <w:r>
        <w:separator/>
      </w:r>
    </w:p>
  </w:endnote>
  <w:endnote w:type="continuationSeparator" w:id="0">
    <w:p w:rsidR="009E4C68" w:rsidRDefault="009E4C68"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68" w:rsidRDefault="009E4C68" w:rsidP="00DE38F1">
      <w:pPr>
        <w:spacing w:after="0" w:line="240" w:lineRule="auto"/>
      </w:pPr>
    </w:p>
  </w:footnote>
  <w:footnote w:type="continuationSeparator" w:id="0">
    <w:p w:rsidR="009E4C68" w:rsidRDefault="009E4C68" w:rsidP="00DE38F1">
      <w:pPr>
        <w:spacing w:after="0" w:line="240" w:lineRule="auto"/>
      </w:pPr>
      <w:r>
        <w:continuationSeparator/>
      </w:r>
    </w:p>
  </w:footnote>
  <w:footnote w:id="1">
    <w:p w:rsidR="00BD4562" w:rsidRDefault="00BD4562" w:rsidP="009174CF">
      <w:pPr>
        <w:pStyle w:val="05BAFUFussnote"/>
      </w:pPr>
      <w:r>
        <w:rPr>
          <w:rStyle w:val="Funotenzeichen"/>
          <w:lang w:val="en-GB"/>
        </w:rPr>
        <w:footnoteRef/>
      </w:r>
      <w:r w:rsidR="009174CF">
        <w:t xml:space="preserve"> </w:t>
      </w:r>
      <w:r w:rsidRPr="009174CF">
        <w:rPr>
          <w:b/>
          <w:color w:val="6C9051" w:themeColor="accent2" w:themeShade="BF"/>
        </w:rPr>
        <w:t xml:space="preserve">Verhütung blutübertragbarer Infektionen im Gesundheitswesen; Order </w:t>
      </w:r>
      <w:proofErr w:type="spellStart"/>
      <w:r w:rsidRPr="009174CF">
        <w:rPr>
          <w:b/>
          <w:color w:val="6C9051" w:themeColor="accent2" w:themeShade="BF"/>
        </w:rPr>
        <w:t>No</w:t>
      </w:r>
      <w:proofErr w:type="spellEnd"/>
      <w:r w:rsidRPr="009174CF">
        <w:rPr>
          <w:b/>
          <w:color w:val="6C9051" w:themeColor="accent2" w:themeShade="BF"/>
        </w:rPr>
        <w:t>.: 2869/30.d</w:t>
      </w:r>
      <w:r w:rsidRPr="009174CF">
        <w:rPr>
          <w:b/>
          <w:color w:val="6C9051" w:themeColor="accent2" w:themeShade="BF"/>
        </w:rPr>
        <w:br/>
        <w:t xml:space="preserve">Order </w:t>
      </w:r>
      <w:proofErr w:type="spellStart"/>
      <w:r w:rsidRPr="009174CF">
        <w:rPr>
          <w:b/>
          <w:color w:val="6C9051" w:themeColor="accent2" w:themeShade="BF"/>
        </w:rPr>
        <w:t>addres</w:t>
      </w:r>
      <w:bookmarkStart w:id="1" w:name="_GoBack"/>
      <w:bookmarkEnd w:id="1"/>
      <w:r w:rsidRPr="009D1700">
        <w:rPr>
          <w:b/>
          <w:color w:val="6C9051" w:themeColor="accent2" w:themeShade="BF"/>
        </w:rPr>
        <w:t>s</w:t>
      </w:r>
      <w:proofErr w:type="spellEnd"/>
      <w:r w:rsidRPr="009D1700">
        <w:rPr>
          <w:b/>
          <w:color w:val="6C9051" w:themeColor="accent2" w:themeShade="BF"/>
        </w:rPr>
        <w:t xml:space="preserve">: </w:t>
      </w:r>
      <w:hyperlink r:id="rId1" w:history="1">
        <w:r w:rsidRPr="009D1700">
          <w:rPr>
            <w:rStyle w:val="Hyperlink"/>
            <w:b/>
            <w:color w:val="6C9051" w:themeColor="accent2" w:themeShade="BF"/>
          </w:rPr>
          <w:t>www.suva.ch//material/Dokumentationen/verhuetung-blutuebertragbarer-infektionen-im-gesundheitswesen-286930-d-5456-5456</w:t>
        </w:r>
      </w:hyperlink>
    </w:p>
    <w:p w:rsidR="00BD4562" w:rsidRPr="00D836B1" w:rsidRDefault="00BD4562" w:rsidP="00BD4562">
      <w:pPr>
        <w:pStyle w:val="Funotentext"/>
        <w:tabs>
          <w:tab w:val="left" w:pos="360"/>
        </w:tabs>
        <w:ind w:left="360" w:hanging="360"/>
        <w:rPr>
          <w:rStyle w:val="Hyperlink"/>
        </w:rPr>
      </w:pPr>
      <w:r w:rsidRPr="00D836B1">
        <w:rPr>
          <w:rStyle w:val="Hyperlink"/>
        </w:rPr>
        <w:t xml:space="preserve"> </w:t>
      </w:r>
    </w:p>
  </w:footnote>
  <w:footnote w:id="2">
    <w:p w:rsidR="001964B7" w:rsidRPr="009D1700" w:rsidRDefault="001964B7" w:rsidP="003276F8">
      <w:pPr>
        <w:pStyle w:val="05BAFUFussnote"/>
        <w:rPr>
          <w:lang w:val="en-GB"/>
        </w:rPr>
      </w:pPr>
      <w:r>
        <w:rPr>
          <w:rStyle w:val="Funotenzeichen"/>
          <w:lang w:val="en-GB"/>
        </w:rPr>
        <w:footnoteRef/>
      </w:r>
      <w:r w:rsidR="003276F8" w:rsidRPr="009D1700">
        <w:rPr>
          <w:lang w:val="en-GB"/>
        </w:rPr>
        <w:t xml:space="preserve"> </w:t>
      </w:r>
      <w:r w:rsidRPr="009D1700">
        <w:rPr>
          <w:lang w:val="en-GB"/>
        </w:rPr>
        <w:t>Regarded as an accident according to Art. 9 of the Ordinance on the Prevention of Accidents and Occupational Diseases (Verordnung vom 19. Dezember 1983 über die Verhütung von Unfällen und Berufskrankheiten / VUV) and must therefore be reported to the accident insurance fund.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A54939" w:rsidRDefault="00BD4562" w:rsidP="00A54939">
    <w:pPr>
      <w:pStyle w:val="99BAFUKopfzeileGrau"/>
      <w:rPr>
        <w:lang w:val="en-GB"/>
      </w:rPr>
    </w:pPr>
    <w:r>
      <w:rPr>
        <w:lang w:val="en-GB"/>
      </w:rPr>
      <w:t>Annex</w:t>
    </w:r>
    <w:r w:rsidR="008263A1" w:rsidRPr="00A54939">
      <w:rPr>
        <w:lang w:val="en-GB"/>
      </w:rPr>
      <w:t xml:space="preserve"> </w:t>
    </w:r>
    <w:r w:rsidR="004719B0" w:rsidRPr="00A54939">
      <w:rPr>
        <w:lang w:val="en-GB"/>
      </w:rPr>
      <w:t>11</w:t>
    </w:r>
    <w:r w:rsidR="008263A1" w:rsidRPr="00A54939">
      <w:rPr>
        <w:lang w:val="en-GB"/>
      </w:rPr>
      <w:t xml:space="preserve">. </w:t>
    </w:r>
    <w:r w:rsidR="00A54939" w:rsidRPr="00A54939">
      <w:rPr>
        <w:lang w:val="en-US"/>
      </w:rPr>
      <w:t xml:space="preserve">Safety concept </w:t>
    </w:r>
    <w:r w:rsidR="00A54939" w:rsidRPr="00A54939">
      <w:rPr>
        <w:lang w:val="en-GB"/>
      </w:rPr>
      <w:t>according</w:t>
    </w:r>
    <w:r w:rsidR="00A54939" w:rsidRPr="00A54939">
      <w:rPr>
        <w:lang w:val="en-US"/>
      </w:rPr>
      <w:t xml:space="preserve"> to ESV and SAMV for Level 2 </w:t>
    </w:r>
    <w:proofErr w:type="gramStart"/>
    <w:r w:rsidR="00A54939" w:rsidRPr="00A54939">
      <w:rPr>
        <w:lang w:val="en-US"/>
      </w:rPr>
      <w:t>laboratories</w:t>
    </w:r>
    <w:r w:rsidR="00A54939" w:rsidRPr="00A54939">
      <w:rPr>
        <w:lang w:val="en-GB"/>
      </w:rPr>
      <w:t xml:space="preserve">  </w:t>
    </w:r>
    <w:r w:rsidR="00A54939" w:rsidRPr="00A54939">
      <w:rPr>
        <w:rStyle w:val="99Kopfzeilegrau"/>
      </w:rPr>
      <w:t>©</w:t>
    </w:r>
    <w:proofErr w:type="gramEnd"/>
    <w:r w:rsidR="00A54939" w:rsidRPr="00A54939">
      <w:rPr>
        <w:rStyle w:val="99Kopfzeilegrau"/>
      </w:rPr>
      <w:t xml:space="preserve"> FOEN 2019</w:t>
    </w:r>
    <w:r w:rsidR="008263A1" w:rsidRPr="00A54939">
      <w:rPr>
        <w:lang w:val="en-GB"/>
      </w:rPr>
      <w:tab/>
    </w:r>
    <w:r w:rsidR="008263A1" w:rsidRPr="00B145CD">
      <w:fldChar w:fldCharType="begin"/>
    </w:r>
    <w:r w:rsidR="008263A1" w:rsidRPr="00A54939">
      <w:rPr>
        <w:lang w:val="en-GB"/>
      </w:rPr>
      <w:instrText>PAGE   \* MERGEFORMAT</w:instrText>
    </w:r>
    <w:r w:rsidR="008263A1" w:rsidRPr="00B145CD">
      <w:fldChar w:fldCharType="separate"/>
    </w:r>
    <w:r w:rsidR="009D1700">
      <w:rPr>
        <w:noProof/>
        <w:lang w:val="en-GB"/>
      </w:rPr>
      <w:t>2</w:t>
    </w:r>
    <w:r w:rsidR="008263A1" w:rsidRPr="00B145CD">
      <w:fldChar w:fldCharType="end"/>
    </w:r>
  </w:p>
  <w:p w:rsidR="008263A1" w:rsidRPr="00A54939" w:rsidRDefault="008263A1" w:rsidP="008263A1">
    <w:pPr>
      <w:pStyle w:val="99BAFUSatzspiegellinie"/>
      <w:tabs>
        <w:tab w:val="clear" w:pos="9072"/>
        <w:tab w:val="left" w:pos="1038"/>
      </w:tabs>
      <w:rPr>
        <w:lang w:val="en-GB"/>
      </w:rPr>
    </w:pPr>
  </w:p>
  <w:p w:rsidR="008263A1" w:rsidRPr="00A54939" w:rsidRDefault="008263A1">
    <w:pPr>
      <w:pStyle w:val="Kopfzeile"/>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3"/>
      <w:numFmt w:val="decimal"/>
      <w:lvlText w:val="%1."/>
      <w:lvlJc w:val="left"/>
      <w:pPr>
        <w:tabs>
          <w:tab w:val="num" w:pos="560"/>
        </w:tabs>
        <w:ind w:left="560" w:hanging="560"/>
      </w:pPr>
      <w:rPr>
        <w:rFonts w:hint="default"/>
      </w:rPr>
    </w:lvl>
  </w:abstractNum>
  <w:abstractNum w:abstractNumId="1"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4"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DFA0667"/>
    <w:multiLevelType w:val="singleLevel"/>
    <w:tmpl w:val="B7801FB2"/>
    <w:lvl w:ilvl="0">
      <w:start w:val="2"/>
      <w:numFmt w:val="decimal"/>
      <w:lvlText w:val="%1."/>
      <w:lvlJc w:val="left"/>
      <w:pPr>
        <w:tabs>
          <w:tab w:val="num" w:pos="570"/>
        </w:tabs>
        <w:ind w:left="570" w:hanging="570"/>
      </w:pPr>
      <w:rPr>
        <w:rFonts w:hint="default"/>
      </w:rPr>
    </w:lvl>
  </w:abstractNum>
  <w:abstractNum w:abstractNumId="6"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AA43D51"/>
    <w:multiLevelType w:val="hybridMultilevel"/>
    <w:tmpl w:val="2106367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9"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3"/>
  </w:num>
  <w:num w:numId="2">
    <w:abstractNumId w:val="8"/>
  </w:num>
  <w:num w:numId="3">
    <w:abstractNumId w:val="1"/>
  </w:num>
  <w:num w:numId="4">
    <w:abstractNumId w:val="2"/>
  </w:num>
  <w:num w:numId="5">
    <w:abstractNumId w:val="6"/>
  </w:num>
  <w:num w:numId="6">
    <w:abstractNumId w:val="9"/>
  </w:num>
  <w:num w:numId="7">
    <w:abstractNumId w:val="4"/>
  </w:num>
  <w:num w:numId="8">
    <w:abstractNumId w:val="4"/>
  </w:num>
  <w:num w:numId="9">
    <w:abstractNumId w:val="9"/>
  </w:num>
  <w:num w:numId="10">
    <w:abstractNumId w:val="4"/>
  </w:num>
  <w:num w:numId="11">
    <w:abstractNumId w:val="0"/>
  </w:num>
  <w:num w:numId="12">
    <w:abstractNumId w:val="7"/>
  </w:num>
  <w:num w:numId="1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2B76"/>
    <w:rsid w:val="000159CF"/>
    <w:rsid w:val="0002726B"/>
    <w:rsid w:val="00042869"/>
    <w:rsid w:val="000508B2"/>
    <w:rsid w:val="000512CD"/>
    <w:rsid w:val="00054899"/>
    <w:rsid w:val="000568A8"/>
    <w:rsid w:val="000731DA"/>
    <w:rsid w:val="00077CC3"/>
    <w:rsid w:val="00084994"/>
    <w:rsid w:val="000904E5"/>
    <w:rsid w:val="000C7E51"/>
    <w:rsid w:val="000D6AEE"/>
    <w:rsid w:val="000E0AFD"/>
    <w:rsid w:val="000E452C"/>
    <w:rsid w:val="000E45B2"/>
    <w:rsid w:val="00114F0A"/>
    <w:rsid w:val="0011540C"/>
    <w:rsid w:val="00137A4D"/>
    <w:rsid w:val="0014129F"/>
    <w:rsid w:val="00141E0E"/>
    <w:rsid w:val="00151AA2"/>
    <w:rsid w:val="00153C5B"/>
    <w:rsid w:val="00153F00"/>
    <w:rsid w:val="00153F2E"/>
    <w:rsid w:val="001616BD"/>
    <w:rsid w:val="001651FF"/>
    <w:rsid w:val="00166B18"/>
    <w:rsid w:val="001710A2"/>
    <w:rsid w:val="00171342"/>
    <w:rsid w:val="00174045"/>
    <w:rsid w:val="001773BB"/>
    <w:rsid w:val="001858D8"/>
    <w:rsid w:val="00194DC9"/>
    <w:rsid w:val="001964B7"/>
    <w:rsid w:val="001A44A2"/>
    <w:rsid w:val="001B43F2"/>
    <w:rsid w:val="001C1F8F"/>
    <w:rsid w:val="001C37D6"/>
    <w:rsid w:val="001C5CBC"/>
    <w:rsid w:val="001D5333"/>
    <w:rsid w:val="001D571F"/>
    <w:rsid w:val="001D5784"/>
    <w:rsid w:val="001E08D4"/>
    <w:rsid w:val="001E33A5"/>
    <w:rsid w:val="001F376D"/>
    <w:rsid w:val="001F3837"/>
    <w:rsid w:val="00203AE3"/>
    <w:rsid w:val="00206A92"/>
    <w:rsid w:val="0022112A"/>
    <w:rsid w:val="00252555"/>
    <w:rsid w:val="00256463"/>
    <w:rsid w:val="00261810"/>
    <w:rsid w:val="002677B6"/>
    <w:rsid w:val="00267CF3"/>
    <w:rsid w:val="00276DDF"/>
    <w:rsid w:val="00284FE3"/>
    <w:rsid w:val="00286B19"/>
    <w:rsid w:val="002B0862"/>
    <w:rsid w:val="002C7AD1"/>
    <w:rsid w:val="002E6D7E"/>
    <w:rsid w:val="002F1914"/>
    <w:rsid w:val="00303E74"/>
    <w:rsid w:val="0030499A"/>
    <w:rsid w:val="00312C36"/>
    <w:rsid w:val="003176A2"/>
    <w:rsid w:val="003276F8"/>
    <w:rsid w:val="00340CA8"/>
    <w:rsid w:val="00342FD2"/>
    <w:rsid w:val="00345392"/>
    <w:rsid w:val="00350EB3"/>
    <w:rsid w:val="00355384"/>
    <w:rsid w:val="003565E8"/>
    <w:rsid w:val="003741F7"/>
    <w:rsid w:val="003746C6"/>
    <w:rsid w:val="003766B9"/>
    <w:rsid w:val="00392765"/>
    <w:rsid w:val="003A2FCE"/>
    <w:rsid w:val="003A597F"/>
    <w:rsid w:val="003B6705"/>
    <w:rsid w:val="003E0730"/>
    <w:rsid w:val="004028D3"/>
    <w:rsid w:val="00423368"/>
    <w:rsid w:val="00456CCB"/>
    <w:rsid w:val="00463452"/>
    <w:rsid w:val="00465964"/>
    <w:rsid w:val="004719B0"/>
    <w:rsid w:val="00490C6C"/>
    <w:rsid w:val="004B4476"/>
    <w:rsid w:val="004B7112"/>
    <w:rsid w:val="004C0384"/>
    <w:rsid w:val="004C4B1D"/>
    <w:rsid w:val="004E03D2"/>
    <w:rsid w:val="004E7EAC"/>
    <w:rsid w:val="004F374B"/>
    <w:rsid w:val="004F44ED"/>
    <w:rsid w:val="0051314B"/>
    <w:rsid w:val="00526A0C"/>
    <w:rsid w:val="005413E3"/>
    <w:rsid w:val="00546E75"/>
    <w:rsid w:val="00555CC1"/>
    <w:rsid w:val="00570D73"/>
    <w:rsid w:val="00573B63"/>
    <w:rsid w:val="00590EFB"/>
    <w:rsid w:val="00592236"/>
    <w:rsid w:val="005936E6"/>
    <w:rsid w:val="00597917"/>
    <w:rsid w:val="005A2AD0"/>
    <w:rsid w:val="005B2F37"/>
    <w:rsid w:val="005B4E5A"/>
    <w:rsid w:val="005C4B31"/>
    <w:rsid w:val="005D4790"/>
    <w:rsid w:val="005D54DA"/>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83C22"/>
    <w:rsid w:val="0068661A"/>
    <w:rsid w:val="006A2B0C"/>
    <w:rsid w:val="006B4642"/>
    <w:rsid w:val="006E2BB4"/>
    <w:rsid w:val="006E2C99"/>
    <w:rsid w:val="006E453A"/>
    <w:rsid w:val="006E7C6F"/>
    <w:rsid w:val="006F27DB"/>
    <w:rsid w:val="007004B3"/>
    <w:rsid w:val="00702B4D"/>
    <w:rsid w:val="00704BD5"/>
    <w:rsid w:val="00705F68"/>
    <w:rsid w:val="00706C67"/>
    <w:rsid w:val="0071445F"/>
    <w:rsid w:val="0071576D"/>
    <w:rsid w:val="00727ECB"/>
    <w:rsid w:val="0073013E"/>
    <w:rsid w:val="0073126F"/>
    <w:rsid w:val="007313BE"/>
    <w:rsid w:val="007329FD"/>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C375B"/>
    <w:rsid w:val="007D348C"/>
    <w:rsid w:val="007D383C"/>
    <w:rsid w:val="007D51FC"/>
    <w:rsid w:val="007E7634"/>
    <w:rsid w:val="007F5163"/>
    <w:rsid w:val="0080534A"/>
    <w:rsid w:val="00815E0C"/>
    <w:rsid w:val="0082067C"/>
    <w:rsid w:val="00821FE4"/>
    <w:rsid w:val="00823C05"/>
    <w:rsid w:val="008263A1"/>
    <w:rsid w:val="00830F17"/>
    <w:rsid w:val="00832A96"/>
    <w:rsid w:val="008342B2"/>
    <w:rsid w:val="008347FA"/>
    <w:rsid w:val="0083754E"/>
    <w:rsid w:val="00840AB7"/>
    <w:rsid w:val="0085003C"/>
    <w:rsid w:val="00855F6B"/>
    <w:rsid w:val="008862D6"/>
    <w:rsid w:val="00895250"/>
    <w:rsid w:val="008B03E6"/>
    <w:rsid w:val="008D4F54"/>
    <w:rsid w:val="008D6A8F"/>
    <w:rsid w:val="008E1175"/>
    <w:rsid w:val="008E2F9D"/>
    <w:rsid w:val="00902C57"/>
    <w:rsid w:val="009071AD"/>
    <w:rsid w:val="00912EEC"/>
    <w:rsid w:val="00915D5B"/>
    <w:rsid w:val="00916073"/>
    <w:rsid w:val="009174CF"/>
    <w:rsid w:val="0091784A"/>
    <w:rsid w:val="009365F9"/>
    <w:rsid w:val="00942F12"/>
    <w:rsid w:val="0095210C"/>
    <w:rsid w:val="0097236B"/>
    <w:rsid w:val="00972829"/>
    <w:rsid w:val="00995980"/>
    <w:rsid w:val="009A05C8"/>
    <w:rsid w:val="009A2346"/>
    <w:rsid w:val="009A4697"/>
    <w:rsid w:val="009A4E87"/>
    <w:rsid w:val="009B04F2"/>
    <w:rsid w:val="009B6A65"/>
    <w:rsid w:val="009C1E92"/>
    <w:rsid w:val="009C6BE6"/>
    <w:rsid w:val="009D1700"/>
    <w:rsid w:val="009D2A0F"/>
    <w:rsid w:val="009D2E2D"/>
    <w:rsid w:val="009D5969"/>
    <w:rsid w:val="009D5FFF"/>
    <w:rsid w:val="009D6C37"/>
    <w:rsid w:val="009D727E"/>
    <w:rsid w:val="009E4826"/>
    <w:rsid w:val="009E4C68"/>
    <w:rsid w:val="009E51A0"/>
    <w:rsid w:val="009F49D8"/>
    <w:rsid w:val="00A14E83"/>
    <w:rsid w:val="00A2294E"/>
    <w:rsid w:val="00A23AAB"/>
    <w:rsid w:val="00A255F2"/>
    <w:rsid w:val="00A36765"/>
    <w:rsid w:val="00A54939"/>
    <w:rsid w:val="00A60378"/>
    <w:rsid w:val="00A72158"/>
    <w:rsid w:val="00A82010"/>
    <w:rsid w:val="00A84F32"/>
    <w:rsid w:val="00A97A6B"/>
    <w:rsid w:val="00AB39EF"/>
    <w:rsid w:val="00AC2BB5"/>
    <w:rsid w:val="00AC4985"/>
    <w:rsid w:val="00AD2418"/>
    <w:rsid w:val="00AE0E53"/>
    <w:rsid w:val="00AE2978"/>
    <w:rsid w:val="00AE55DC"/>
    <w:rsid w:val="00AF3C5E"/>
    <w:rsid w:val="00B145CD"/>
    <w:rsid w:val="00B17637"/>
    <w:rsid w:val="00B21758"/>
    <w:rsid w:val="00B319B1"/>
    <w:rsid w:val="00B325D1"/>
    <w:rsid w:val="00B40C53"/>
    <w:rsid w:val="00B63EAC"/>
    <w:rsid w:val="00B72F99"/>
    <w:rsid w:val="00B87B03"/>
    <w:rsid w:val="00B91E01"/>
    <w:rsid w:val="00B95429"/>
    <w:rsid w:val="00B95729"/>
    <w:rsid w:val="00BB0408"/>
    <w:rsid w:val="00BB2C13"/>
    <w:rsid w:val="00BC08C8"/>
    <w:rsid w:val="00BC1ED8"/>
    <w:rsid w:val="00BD4562"/>
    <w:rsid w:val="00BD5E73"/>
    <w:rsid w:val="00BD7ACA"/>
    <w:rsid w:val="00BE4C60"/>
    <w:rsid w:val="00BF0385"/>
    <w:rsid w:val="00BF185C"/>
    <w:rsid w:val="00BF5276"/>
    <w:rsid w:val="00C030CC"/>
    <w:rsid w:val="00C06D65"/>
    <w:rsid w:val="00C40A0B"/>
    <w:rsid w:val="00C467BA"/>
    <w:rsid w:val="00C562AD"/>
    <w:rsid w:val="00C603A6"/>
    <w:rsid w:val="00C71A5D"/>
    <w:rsid w:val="00C732B1"/>
    <w:rsid w:val="00C73B33"/>
    <w:rsid w:val="00C81D31"/>
    <w:rsid w:val="00C86541"/>
    <w:rsid w:val="00C97018"/>
    <w:rsid w:val="00CB5B6D"/>
    <w:rsid w:val="00CC0951"/>
    <w:rsid w:val="00CC1A82"/>
    <w:rsid w:val="00CC6A37"/>
    <w:rsid w:val="00CE6B13"/>
    <w:rsid w:val="00CF4C7D"/>
    <w:rsid w:val="00CF6289"/>
    <w:rsid w:val="00CF7E2C"/>
    <w:rsid w:val="00D02888"/>
    <w:rsid w:val="00D046D6"/>
    <w:rsid w:val="00D11BBC"/>
    <w:rsid w:val="00D12461"/>
    <w:rsid w:val="00D1581A"/>
    <w:rsid w:val="00D313E8"/>
    <w:rsid w:val="00D32634"/>
    <w:rsid w:val="00D3342E"/>
    <w:rsid w:val="00D3752A"/>
    <w:rsid w:val="00D45963"/>
    <w:rsid w:val="00D45CE1"/>
    <w:rsid w:val="00D53403"/>
    <w:rsid w:val="00D654D6"/>
    <w:rsid w:val="00D93ADD"/>
    <w:rsid w:val="00D9789D"/>
    <w:rsid w:val="00DA11C0"/>
    <w:rsid w:val="00DA351C"/>
    <w:rsid w:val="00DB118B"/>
    <w:rsid w:val="00DD5049"/>
    <w:rsid w:val="00DE38F1"/>
    <w:rsid w:val="00DE4CF2"/>
    <w:rsid w:val="00DF10B8"/>
    <w:rsid w:val="00E01811"/>
    <w:rsid w:val="00E03B46"/>
    <w:rsid w:val="00E17847"/>
    <w:rsid w:val="00E304F3"/>
    <w:rsid w:val="00E3414A"/>
    <w:rsid w:val="00E40A11"/>
    <w:rsid w:val="00E4541E"/>
    <w:rsid w:val="00E45DD9"/>
    <w:rsid w:val="00E4708D"/>
    <w:rsid w:val="00E477CC"/>
    <w:rsid w:val="00E517EA"/>
    <w:rsid w:val="00E56938"/>
    <w:rsid w:val="00E57B38"/>
    <w:rsid w:val="00E7245F"/>
    <w:rsid w:val="00E76A19"/>
    <w:rsid w:val="00E81548"/>
    <w:rsid w:val="00E96286"/>
    <w:rsid w:val="00EA3E4B"/>
    <w:rsid w:val="00EA4E63"/>
    <w:rsid w:val="00EC03F3"/>
    <w:rsid w:val="00EC4066"/>
    <w:rsid w:val="00ED6F44"/>
    <w:rsid w:val="00ED789D"/>
    <w:rsid w:val="00EF3BDB"/>
    <w:rsid w:val="00F04BA4"/>
    <w:rsid w:val="00F05162"/>
    <w:rsid w:val="00F06554"/>
    <w:rsid w:val="00F10543"/>
    <w:rsid w:val="00F21441"/>
    <w:rsid w:val="00F325C1"/>
    <w:rsid w:val="00F336DA"/>
    <w:rsid w:val="00F3466A"/>
    <w:rsid w:val="00F57024"/>
    <w:rsid w:val="00F63A80"/>
    <w:rsid w:val="00F71844"/>
    <w:rsid w:val="00F832E0"/>
    <w:rsid w:val="00F9380F"/>
    <w:rsid w:val="00F96B94"/>
    <w:rsid w:val="00FA4C27"/>
    <w:rsid w:val="00FA5113"/>
    <w:rsid w:val="00FB0BA4"/>
    <w:rsid w:val="00FB0E30"/>
    <w:rsid w:val="00FC3FD5"/>
    <w:rsid w:val="00FC6C30"/>
    <w:rsid w:val="00FD024C"/>
    <w:rsid w:val="00FD2B6A"/>
    <w:rsid w:val="00FE0F73"/>
    <w:rsid w:val="00FE68A5"/>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2"/>
      </w:numPr>
    </w:pPr>
  </w:style>
  <w:style w:type="paragraph" w:customStyle="1" w:styleId="02BAFUTitelnummeriert">
    <w:name w:val="02_BAFU_Titel_nummeriert"/>
    <w:basedOn w:val="Standard"/>
    <w:qFormat/>
    <w:rsid w:val="00EC4066"/>
    <w:pPr>
      <w:numPr>
        <w:numId w:val="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1"/>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semiHidden/>
    <w:rsid w:val="0060561E"/>
    <w:rPr>
      <w:sz w:val="20"/>
      <w:szCs w:val="20"/>
    </w:rPr>
  </w:style>
  <w:style w:type="character" w:styleId="Funotenzeichen">
    <w:name w:val="footnote reference"/>
    <w:basedOn w:val="Absatz-Standardschriftart"/>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3"/>
      </w:numPr>
      <w:ind w:left="199" w:hanging="199"/>
    </w:pPr>
  </w:style>
  <w:style w:type="paragraph" w:customStyle="1" w:styleId="05BAFUGrundschriftAufzhlung">
    <w:name w:val="05_BAFU_Grundschrift Aufzählung"/>
    <w:basedOn w:val="05BAFUGrundschriftAufzhlungletzte"/>
    <w:qFormat/>
    <w:rsid w:val="00AE2978"/>
    <w:pPr>
      <w:numPr>
        <w:numId w:val="7"/>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4"/>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5"/>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Erluterung2">
    <w:name w:val="Erläuterung 2"/>
    <w:basedOn w:val="Standard"/>
    <w:rsid w:val="00BD4562"/>
    <w:pPr>
      <w:pBdr>
        <w:top w:val="single" w:sz="4" w:space="4" w:color="008080"/>
        <w:left w:val="single" w:sz="4" w:space="2" w:color="008080"/>
        <w:bottom w:val="single" w:sz="4" w:space="4" w:color="008080"/>
        <w:right w:val="single" w:sz="4" w:space="0" w:color="008080"/>
      </w:pBdr>
      <w:shd w:val="pct10" w:color="auto" w:fill="auto"/>
      <w:spacing w:after="0" w:line="280" w:lineRule="atLeast"/>
    </w:pPr>
    <w:rPr>
      <w:rFonts w:ascii="Helvetica" w:eastAsia="Times" w:hAnsi="Helvetica" w:cs="Times New Roman"/>
      <w:i/>
      <w:smallCaps/>
      <w:color w:val="008080"/>
      <w:sz w:val="20"/>
      <w:szCs w:val="20"/>
      <w:lang w:eastAsia="de-DE"/>
    </w:rPr>
  </w:style>
  <w:style w:type="paragraph" w:customStyle="1" w:styleId="Tabelle">
    <w:name w:val="Tabelle"/>
    <w:basedOn w:val="Standard"/>
    <w:rsid w:val="001964B7"/>
    <w:pPr>
      <w:tabs>
        <w:tab w:val="left" w:pos="567"/>
      </w:tabs>
      <w:spacing w:before="20" w:after="20" w:line="240" w:lineRule="atLeast"/>
      <w:ind w:left="57" w:right="57"/>
    </w:pPr>
    <w:rPr>
      <w:rFonts w:ascii="Arial" w:eastAsia="Times New Roman" w:hAnsi="Arial" w:cs="Times New Roman"/>
      <w:sz w:val="18"/>
      <w:szCs w:val="20"/>
      <w:lang w:val="de-DE" w:eastAsia="de-DE"/>
    </w:rPr>
  </w:style>
  <w:style w:type="paragraph" w:customStyle="1" w:styleId="Hervorhebung1">
    <w:name w:val="Hervorhebung1"/>
    <w:basedOn w:val="Standard"/>
    <w:rsid w:val="001964B7"/>
    <w:pPr>
      <w:keepNext/>
      <w:keepLines/>
      <w:widowControl w:val="0"/>
      <w:pBdr>
        <w:left w:val="single" w:sz="12" w:space="25" w:color="auto"/>
      </w:pBdr>
      <w:spacing w:after="0" w:line="263" w:lineRule="atLeast"/>
      <w:ind w:left="1134"/>
    </w:pPr>
    <w:rPr>
      <w:rFonts w:ascii="Helvetica" w:eastAsia="Times New Roman" w:hAnsi="Helvetica" w:cs="Times New Roman"/>
      <w:sz w:val="20"/>
      <w:szCs w:val="20"/>
      <w:lang w:val="de-DE" w:eastAsia="de-DE"/>
    </w:rPr>
  </w:style>
  <w:style w:type="paragraph" w:styleId="Indexberschrift">
    <w:name w:val="index heading"/>
    <w:basedOn w:val="Standard"/>
    <w:next w:val="Index1"/>
    <w:semiHidden/>
    <w:rsid w:val="001964B7"/>
    <w:pPr>
      <w:spacing w:after="0" w:line="263" w:lineRule="atLeast"/>
    </w:pPr>
    <w:rPr>
      <w:rFonts w:ascii="Helvetica" w:eastAsia="Times" w:hAnsi="Helvetic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uva.ch/material/Dokumentationen/verhuetung-blutuebertragbarer-infektionen-im-gesundheitswesen-286930-d-5456-545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A0264-2C1C-48F0-A4F9-FB1A3BE52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VORL_Anhang_ESV.dotx</Template>
  <TotalTime>0</TotalTime>
  <Pages>2</Pages>
  <Words>593</Words>
  <Characters>3742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Pre-Media</cp:lastModifiedBy>
  <cp:revision>14</cp:revision>
  <cp:lastPrinted>2019-09-05T12:42:00Z</cp:lastPrinted>
  <dcterms:created xsi:type="dcterms:W3CDTF">2020-02-05T11:52:00Z</dcterms:created>
  <dcterms:modified xsi:type="dcterms:W3CDTF">2020-02-05T11:59:00Z</dcterms:modified>
</cp:coreProperties>
</file>