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DD0BE4" w:rsidRDefault="009E4C68" w:rsidP="009E4C68">
      <w:pPr>
        <w:pStyle w:val="01BAFUKapiteltitelnummeriert"/>
        <w:numPr>
          <w:ilvl w:val="0"/>
          <w:numId w:val="0"/>
        </w:numPr>
        <w:rPr>
          <w:lang w:val="en-GB"/>
        </w:rPr>
      </w:pPr>
      <w:bookmarkStart w:id="0" w:name="_Toc12457507"/>
      <w:r w:rsidRPr="00DD0BE4">
        <w:rPr>
          <w:color w:val="B6BDBB"/>
          <w:lang w:val="en-GB"/>
        </w:rPr>
        <w:t>An</w:t>
      </w:r>
      <w:r w:rsidR="00DD0BE4" w:rsidRPr="00DD0BE4">
        <w:rPr>
          <w:color w:val="B6BDBB"/>
          <w:lang w:val="en-GB"/>
        </w:rPr>
        <w:t>nex</w:t>
      </w:r>
      <w:r w:rsidRPr="00DD0BE4">
        <w:rPr>
          <w:color w:val="B6BDBB"/>
          <w:lang w:val="en-GB"/>
        </w:rPr>
        <w:t xml:space="preserve"> </w:t>
      </w:r>
      <w:r w:rsidR="00984E0B" w:rsidRPr="00DD0BE4">
        <w:rPr>
          <w:color w:val="B6BDBB"/>
          <w:lang w:val="en-GB"/>
        </w:rPr>
        <w:t>1</w:t>
      </w:r>
      <w:r w:rsidR="00737F18" w:rsidRPr="00DD0BE4">
        <w:rPr>
          <w:color w:val="B6BDBB"/>
          <w:lang w:val="en-GB"/>
        </w:rPr>
        <w:t>4</w:t>
      </w:r>
      <w:r w:rsidRPr="00DD0BE4">
        <w:rPr>
          <w:lang w:val="en-GB"/>
        </w:rPr>
        <w:t xml:space="preserve"> </w:t>
      </w:r>
      <w:r w:rsidRPr="00DD0BE4">
        <w:rPr>
          <w:lang w:val="en-GB"/>
        </w:rPr>
        <w:br/>
      </w:r>
      <w:bookmarkEnd w:id="0"/>
      <w:r w:rsidR="00DD0BE4" w:rsidRPr="00DD0BE4">
        <w:rPr>
          <w:lang w:val="en-GB"/>
        </w:rPr>
        <w:t>Disposal plan for biologically contaminated waste</w:t>
      </w:r>
    </w:p>
    <w:p w:rsidR="00DD0BE4" w:rsidRPr="00DD0BE4" w:rsidRDefault="00DD0BE4" w:rsidP="00DD0BE4">
      <w:pPr>
        <w:pStyle w:val="05BAFUGrundschrift"/>
        <w:rPr>
          <w:b/>
          <w:color w:val="6C9051" w:themeColor="accent2" w:themeShade="BF"/>
          <w:lang w:val="en-GB"/>
        </w:rPr>
      </w:pPr>
      <w:r w:rsidRPr="00DD0BE4">
        <w:rPr>
          <w:b/>
          <w:color w:val="6C9051" w:themeColor="accent2" w:themeShade="BF"/>
          <w:lang w:val="en-GB"/>
        </w:rPr>
        <w:t>This template describes a specific real-life situation and must be adapted to the situation in the particular plant.</w:t>
      </w:r>
    </w:p>
    <w:p w:rsidR="005B555C" w:rsidRPr="005B555C" w:rsidRDefault="005B555C" w:rsidP="005B555C">
      <w:pPr>
        <w:pStyle w:val="02BAFUTitelnummeriert"/>
        <w:rPr>
          <w:lang w:val="en-GB"/>
        </w:rPr>
      </w:pPr>
      <w:r w:rsidRPr="005B555C">
        <w:rPr>
          <w:lang w:val="en-GB"/>
        </w:rPr>
        <w:t>Purpose</w:t>
      </w:r>
    </w:p>
    <w:p w:rsidR="005B555C" w:rsidRPr="005B555C" w:rsidRDefault="005B555C" w:rsidP="005B555C">
      <w:pPr>
        <w:pStyle w:val="05BAFUGrundschrift"/>
        <w:rPr>
          <w:lang w:val="en-GB"/>
        </w:rPr>
      </w:pPr>
      <w:r w:rsidRPr="005B555C">
        <w:rPr>
          <w:lang w:val="en-GB"/>
        </w:rPr>
        <w:t>This disposal plan sets out rules for handling biologically contaminated waste.</w:t>
      </w:r>
      <w:r>
        <w:rPr>
          <w:lang w:val="en-GB"/>
        </w:rPr>
        <w:t xml:space="preserve"> </w:t>
      </w:r>
      <w:r w:rsidRPr="005B555C">
        <w:rPr>
          <w:lang w:val="en-GB"/>
        </w:rPr>
        <w:t>The inactivation of contaminated waste is a key aspect for minimizing the escape of organisms from the laboratory and thus preventing risks to people and the environment.</w:t>
      </w:r>
    </w:p>
    <w:tbl>
      <w:tblPr>
        <w:tblStyle w:val="Tabellenraster"/>
        <w:tblW w:w="0" w:type="auto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854"/>
      </w:tblGrid>
      <w:tr w:rsidR="00C249F0" w:rsidRPr="00C249F0" w:rsidTr="00270A24">
        <w:tc>
          <w:tcPr>
            <w:tcW w:w="9854" w:type="dxa"/>
            <w:shd w:val="clear" w:color="auto" w:fill="F2F2F2" w:themeFill="background1" w:themeFillShade="F2"/>
            <w:vAlign w:val="center"/>
          </w:tcPr>
          <w:p w:rsidR="005B555C" w:rsidRPr="005B555C" w:rsidRDefault="005B555C" w:rsidP="005B555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B555C">
              <w:rPr>
                <w:rFonts w:ascii="Arial" w:hAnsi="Arial" w:cs="Arial"/>
                <w:sz w:val="20"/>
                <w:szCs w:val="20"/>
                <w:lang w:val="en-GB"/>
              </w:rPr>
              <w:t>Inactivation techniques which may be used are vapour sterilization (autoclaving)</w:t>
            </w:r>
            <w:proofErr w:type="gramStart"/>
            <w:r w:rsidRPr="005B555C">
              <w:rPr>
                <w:rFonts w:ascii="Arial" w:hAnsi="Arial" w:cs="Arial"/>
                <w:sz w:val="20"/>
                <w:szCs w:val="20"/>
                <w:lang w:val="en-GB"/>
              </w:rPr>
              <w:t>,chemical</w:t>
            </w:r>
            <w:proofErr w:type="gramEnd"/>
            <w:r w:rsidRPr="005B555C">
              <w:rPr>
                <w:rFonts w:ascii="Arial" w:hAnsi="Arial" w:cs="Arial"/>
                <w:sz w:val="20"/>
                <w:szCs w:val="20"/>
                <w:lang w:val="en-GB"/>
              </w:rPr>
              <w:t xml:space="preserve"> inactivation and (dry) heat sterilization.</w:t>
            </w:r>
          </w:p>
          <w:p w:rsidR="005B555C" w:rsidRPr="005B555C" w:rsidRDefault="005B555C" w:rsidP="005B555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B555C" w:rsidRPr="005B555C" w:rsidRDefault="005B555C" w:rsidP="005B555C">
            <w:pPr>
              <w:rPr>
                <w:rFonts w:ascii="Arial" w:hAnsi="Arial" w:cs="Arial"/>
                <w:sz w:val="20"/>
                <w:szCs w:val="20"/>
              </w:rPr>
            </w:pPr>
            <w:r w:rsidRPr="005B555C">
              <w:rPr>
                <w:rFonts w:ascii="Arial" w:hAnsi="Arial" w:cs="Arial"/>
                <w:sz w:val="20"/>
                <w:szCs w:val="20"/>
              </w:rPr>
              <w:t xml:space="preserve">The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following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steps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are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important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for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organization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waste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inactivation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removal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B555C" w:rsidRPr="005B555C" w:rsidRDefault="005B555C" w:rsidP="005B555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B555C">
              <w:rPr>
                <w:rFonts w:ascii="Arial" w:hAnsi="Arial" w:cs="Arial"/>
                <w:sz w:val="20"/>
                <w:szCs w:val="20"/>
                <w:lang w:val="en-GB"/>
              </w:rPr>
              <w:t>1. Description of the waste and the nature of collection</w:t>
            </w:r>
          </w:p>
          <w:p w:rsidR="005B555C" w:rsidRPr="005B555C" w:rsidRDefault="005B555C" w:rsidP="005B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Labelling</w:t>
            </w:r>
            <w:proofErr w:type="spellEnd"/>
          </w:p>
          <w:p w:rsidR="005B555C" w:rsidRPr="005B555C" w:rsidRDefault="005B555C" w:rsidP="005B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B555C">
              <w:rPr>
                <w:rFonts w:ascii="Arial" w:hAnsi="Arial" w:cs="Arial"/>
                <w:sz w:val="20"/>
                <w:szCs w:val="20"/>
              </w:rPr>
              <w:t>Storage</w:t>
            </w:r>
          </w:p>
          <w:p w:rsidR="005B555C" w:rsidRPr="005B555C" w:rsidRDefault="005B555C" w:rsidP="005B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5B555C">
              <w:rPr>
                <w:rFonts w:ascii="Arial" w:hAnsi="Arial" w:cs="Arial"/>
                <w:sz w:val="20"/>
                <w:szCs w:val="20"/>
              </w:rPr>
              <w:t>Transport</w:t>
            </w:r>
          </w:p>
          <w:p w:rsidR="005B555C" w:rsidRPr="005B555C" w:rsidRDefault="005B555C" w:rsidP="005B5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Inactivation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method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5B555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A7010" w:rsidRPr="005B555C" w:rsidRDefault="005B555C" w:rsidP="005B555C">
            <w:pPr>
              <w:rPr>
                <w:rFonts w:ascii="Helvetica" w:hAnsi="Helvetica"/>
                <w:i/>
                <w:smallCaps/>
                <w:color w:val="00808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r w:rsidRPr="005B555C">
              <w:rPr>
                <w:rFonts w:ascii="Arial" w:hAnsi="Arial" w:cs="Arial"/>
                <w:sz w:val="20"/>
                <w:szCs w:val="20"/>
              </w:rPr>
              <w:t>Disposal</w:t>
            </w:r>
            <w:proofErr w:type="spellEnd"/>
          </w:p>
        </w:tc>
      </w:tr>
    </w:tbl>
    <w:p w:rsidR="007C15F5" w:rsidRPr="002555A8" w:rsidRDefault="005B555C" w:rsidP="005310EE">
      <w:pPr>
        <w:pStyle w:val="02BAFUTitelnummeriert"/>
        <w:spacing w:before="284"/>
        <w:rPr>
          <w:b w:val="0"/>
          <w:lang w:val="en-GB"/>
        </w:rPr>
      </w:pPr>
      <w:r w:rsidRPr="005B555C">
        <w:rPr>
          <w:lang w:val="en-GB"/>
        </w:rPr>
        <w:t>Disposal of biologically contaminated waste</w:t>
      </w:r>
      <w:r w:rsidR="007C15F5" w:rsidRPr="002555A8">
        <w:rPr>
          <w:lang w:val="en-GB"/>
        </w:rPr>
        <w:t xml:space="preserve"> </w:t>
      </w:r>
    </w:p>
    <w:p w:rsidR="007C15F5" w:rsidRPr="002555A8" w:rsidRDefault="007C15F5" w:rsidP="00A318BE">
      <w:pPr>
        <w:pStyle w:val="03BAFUUntertitel"/>
        <w:ind w:left="392" w:hanging="392"/>
        <w:rPr>
          <w:noProof/>
          <w:lang w:val="en-GB" w:eastAsia="de-CH"/>
        </w:rPr>
      </w:pPr>
      <w:r w:rsidRPr="002555A8">
        <w:rPr>
          <w:noProof/>
          <w:lang w:val="en-GB" w:eastAsia="de-CH"/>
        </w:rPr>
        <w:t>2.1</w:t>
      </w:r>
      <w:r w:rsidRPr="002555A8">
        <w:rPr>
          <w:noProof/>
          <w:lang w:val="en-GB" w:eastAsia="de-CH"/>
        </w:rPr>
        <w:tab/>
      </w:r>
      <w:r w:rsidR="002555A8" w:rsidRPr="002555A8">
        <w:rPr>
          <w:noProof/>
          <w:lang w:val="en-GB" w:eastAsia="de-CH"/>
        </w:rPr>
        <w:t>Disposal of waste involving risk of injury (sharps) as special waste</w:t>
      </w:r>
    </w:p>
    <w:p w:rsidR="002555A8" w:rsidRDefault="002555A8" w:rsidP="002555A8">
      <w:pPr>
        <w:spacing w:after="60"/>
        <w:rPr>
          <w:rFonts w:ascii="Arial" w:hAnsi="Arial" w:cs="Arial"/>
          <w:noProof/>
          <w:sz w:val="20"/>
          <w:szCs w:val="20"/>
          <w:lang w:val="en-GB" w:eastAsia="de-CH"/>
        </w:rPr>
      </w:pPr>
      <w:r w:rsidRPr="002555A8">
        <w:rPr>
          <w:rFonts w:ascii="Arial" w:hAnsi="Arial" w:cs="Arial"/>
          <w:noProof/>
          <w:sz w:val="20"/>
          <w:szCs w:val="20"/>
          <w:lang w:val="en-GB" w:eastAsia="de-CH"/>
        </w:rPr>
        <w:t>Waste involving risk of injury (</w:t>
      </w:r>
      <w:r w:rsidRPr="002555A8">
        <w:rPr>
          <w:rFonts w:ascii="Arial" w:hAnsi="Arial" w:cs="Arial"/>
          <w:i/>
          <w:noProof/>
          <w:sz w:val="20"/>
          <w:szCs w:val="20"/>
          <w:lang w:val="en-GB" w:eastAsia="de-CH"/>
        </w:rPr>
        <w:t>sharps</w:t>
      </w:r>
      <w:r w:rsidRPr="002555A8">
        <w:rPr>
          <w:rFonts w:ascii="Arial" w:hAnsi="Arial" w:cs="Arial"/>
          <w:noProof/>
          <w:sz w:val="20"/>
          <w:szCs w:val="20"/>
          <w:lang w:val="en-GB" w:eastAsia="de-CH"/>
        </w:rPr>
        <w:t>) is not disposed of with the normal industrial waste, but as special waste. If it has come into contact with infectious material,</w:t>
      </w:r>
      <w:r>
        <w:rPr>
          <w:rFonts w:ascii="Arial" w:hAnsi="Arial" w:cs="Arial"/>
          <w:noProof/>
          <w:sz w:val="20"/>
          <w:szCs w:val="20"/>
          <w:lang w:val="en-GB" w:eastAsia="de-CH"/>
        </w:rPr>
        <w:t xml:space="preserve"> it is first rendered inactive.</w:t>
      </w:r>
    </w:p>
    <w:p w:rsidR="002555A8" w:rsidRPr="002555A8" w:rsidRDefault="002555A8" w:rsidP="002555A8">
      <w:pPr>
        <w:spacing w:after="60"/>
        <w:rPr>
          <w:rFonts w:ascii="Arial" w:hAnsi="Arial" w:cs="Arial"/>
          <w:noProof/>
          <w:sz w:val="20"/>
          <w:szCs w:val="20"/>
          <w:lang w:val="en-GB" w:eastAsia="de-CH"/>
        </w:rPr>
      </w:pPr>
    </w:p>
    <w:p w:rsidR="00C523A9" w:rsidRPr="00C523A9" w:rsidRDefault="00C523A9" w:rsidP="00C523A9">
      <w:pPr>
        <w:spacing w:after="60"/>
        <w:rPr>
          <w:rFonts w:ascii="Arial" w:hAnsi="Arial"/>
          <w:b/>
          <w:sz w:val="16"/>
          <w:szCs w:val="16"/>
          <w:lang w:val="en-GB"/>
        </w:rPr>
      </w:pPr>
      <w:r w:rsidRPr="00C523A9">
        <w:rPr>
          <w:rFonts w:ascii="Arial" w:hAnsi="Arial"/>
          <w:b/>
          <w:sz w:val="16"/>
          <w:szCs w:val="16"/>
          <w:lang w:val="en-GB"/>
        </w:rPr>
        <w:t>Coding according to VVS (</w:t>
      </w:r>
      <w:proofErr w:type="spellStart"/>
      <w:r w:rsidRPr="00C523A9">
        <w:rPr>
          <w:rFonts w:ascii="Arial" w:hAnsi="Arial"/>
          <w:b/>
          <w:sz w:val="16"/>
          <w:szCs w:val="16"/>
          <w:lang w:val="en-GB"/>
        </w:rPr>
        <w:t>VeVA</w:t>
      </w:r>
      <w:proofErr w:type="spellEnd"/>
      <w:r w:rsidRPr="00C523A9">
        <w:rPr>
          <w:rFonts w:ascii="Arial" w:hAnsi="Arial"/>
          <w:b/>
          <w:sz w:val="16"/>
          <w:szCs w:val="16"/>
          <w:lang w:val="en-GB"/>
        </w:rPr>
        <w:t>) as special waste</w:t>
      </w:r>
    </w:p>
    <w:tbl>
      <w:tblPr>
        <w:tblW w:w="988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0"/>
        <w:gridCol w:w="8358"/>
      </w:tblGrid>
      <w:tr w:rsidR="00EE022D" w:rsidRPr="00EE022D" w:rsidTr="003F215E"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:rsidR="00EE022D" w:rsidRPr="00EE022D" w:rsidRDefault="00C523A9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523A9">
              <w:rPr>
                <w:b/>
                <w:sz w:val="16"/>
                <w:szCs w:val="16"/>
                <w:lang w:val="en-GB"/>
              </w:rPr>
              <w:t>LVA Code</w:t>
            </w:r>
            <w:r w:rsidRPr="00C523A9">
              <w:rPr>
                <w:b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8358" w:type="dxa"/>
            <w:tcBorders>
              <w:top w:val="single" w:sz="4" w:space="0" w:color="auto"/>
            </w:tcBorders>
            <w:shd w:val="clear" w:color="auto" w:fill="auto"/>
          </w:tcPr>
          <w:p w:rsidR="00EE022D" w:rsidRPr="00EE022D" w:rsidRDefault="00C523A9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523A9">
              <w:rPr>
                <w:b/>
                <w:sz w:val="16"/>
                <w:szCs w:val="16"/>
                <w:lang w:val="en-GB"/>
              </w:rPr>
              <w:t>Waste description</w:t>
            </w:r>
          </w:p>
        </w:tc>
      </w:tr>
      <w:tr w:rsidR="00EE022D" w:rsidRPr="00C523A9" w:rsidTr="003F215E"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EE022D" w:rsidRPr="00EE022D" w:rsidRDefault="00EE022D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EE022D">
              <w:rPr>
                <w:sz w:val="16"/>
                <w:szCs w:val="16"/>
                <w:lang w:val="de-CH"/>
              </w:rPr>
              <w:t>18 01 01</w:t>
            </w:r>
          </w:p>
        </w:tc>
        <w:tc>
          <w:tcPr>
            <w:tcW w:w="8358" w:type="dxa"/>
            <w:shd w:val="clear" w:color="auto" w:fill="F2F2F2" w:themeFill="background1" w:themeFillShade="F2"/>
          </w:tcPr>
          <w:p w:rsidR="00EE022D" w:rsidRPr="00C523A9" w:rsidRDefault="00C523A9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en-GB"/>
              </w:rPr>
            </w:pPr>
            <w:r w:rsidRPr="00C523A9">
              <w:rPr>
                <w:sz w:val="16"/>
                <w:szCs w:val="16"/>
                <w:lang w:val="en-GB"/>
              </w:rPr>
              <w:t>Waste involving risk of injury (sharps)</w:t>
            </w:r>
          </w:p>
        </w:tc>
      </w:tr>
    </w:tbl>
    <w:p w:rsidR="00C523A9" w:rsidRPr="00C523A9" w:rsidRDefault="00C523A9" w:rsidP="00C523A9">
      <w:pPr>
        <w:pStyle w:val="05BAFUGrundschrift"/>
        <w:rPr>
          <w:sz w:val="16"/>
          <w:szCs w:val="16"/>
        </w:rPr>
      </w:pPr>
      <w:r w:rsidRPr="00C523A9">
        <w:rPr>
          <w:sz w:val="16"/>
          <w:szCs w:val="16"/>
          <w:vertAlign w:val="superscript"/>
        </w:rPr>
        <w:t>1</w:t>
      </w:r>
      <w:r w:rsidRPr="00C523A9">
        <w:rPr>
          <w:sz w:val="16"/>
          <w:szCs w:val="16"/>
        </w:rPr>
        <w:t xml:space="preserve"> LVA: Lists for the Movement of Waste (</w:t>
      </w:r>
      <w:r w:rsidRPr="00C523A9">
        <w:rPr>
          <w:sz w:val="16"/>
          <w:szCs w:val="16"/>
          <w:lang w:val="de-DE"/>
        </w:rPr>
        <w:t>Abfall-Code der Verordnung des UVEK vom 18. Oktober 2005 über Listen zum Verkehr mit Abfällen; SR 814.610.1</w:t>
      </w:r>
      <w:r w:rsidRPr="00C523A9">
        <w:rPr>
          <w:sz w:val="16"/>
          <w:szCs w:val="16"/>
        </w:rPr>
        <w:t>)</w:t>
      </w:r>
    </w:p>
    <w:p w:rsidR="00C76DEA" w:rsidRDefault="00C76DEA" w:rsidP="00C76DEA">
      <w:pPr>
        <w:pStyle w:val="06BAFULegendeTitel"/>
        <w:rPr>
          <w:lang w:val="en-GB"/>
        </w:rPr>
      </w:pPr>
      <w:r>
        <w:rPr>
          <w:lang w:val="en-GB"/>
        </w:rPr>
        <w:t>ADR/SDR classification as dangerous goods:</w:t>
      </w:r>
    </w:p>
    <w:tbl>
      <w:tblPr>
        <w:tblW w:w="987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1"/>
        <w:gridCol w:w="1417"/>
        <w:gridCol w:w="1553"/>
        <w:gridCol w:w="851"/>
        <w:gridCol w:w="4522"/>
      </w:tblGrid>
      <w:tr w:rsidR="005A2236" w:rsidRPr="00A1749B" w:rsidTr="003F215E"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</w:tcPr>
          <w:p w:rsidR="005A2236" w:rsidRPr="005A2236" w:rsidRDefault="00A1749B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A1749B">
              <w:rPr>
                <w:b/>
                <w:sz w:val="16"/>
                <w:szCs w:val="16"/>
                <w:lang w:val="en-GB"/>
              </w:rPr>
              <w:t>Class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A2236" w:rsidRPr="005A2236" w:rsidRDefault="00A1749B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A1749B">
              <w:rPr>
                <w:b/>
                <w:sz w:val="16"/>
                <w:szCs w:val="16"/>
                <w:lang w:val="en-GB"/>
              </w:rPr>
              <w:t>Category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:rsidR="005A2236" w:rsidRPr="005A2236" w:rsidRDefault="00A1749B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A1749B">
              <w:rPr>
                <w:b/>
                <w:sz w:val="16"/>
                <w:szCs w:val="16"/>
                <w:lang w:val="en-GB"/>
              </w:rPr>
              <w:t>UN number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A2236" w:rsidRPr="005A2236" w:rsidRDefault="00A1749B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A1749B">
              <w:rPr>
                <w:b/>
                <w:sz w:val="16"/>
                <w:szCs w:val="16"/>
                <w:lang w:val="en-GB"/>
              </w:rPr>
              <w:t>PG</w:t>
            </w:r>
            <w:r w:rsidRPr="00A1749B">
              <w:rPr>
                <w:b/>
                <w:sz w:val="16"/>
                <w:szCs w:val="16"/>
                <w:vertAlign w:val="superscript"/>
                <w:lang w:val="en-GB"/>
              </w:rPr>
              <w:t>3</w:t>
            </w:r>
          </w:p>
        </w:tc>
        <w:tc>
          <w:tcPr>
            <w:tcW w:w="4522" w:type="dxa"/>
            <w:tcBorders>
              <w:top w:val="single" w:sz="4" w:space="0" w:color="auto"/>
            </w:tcBorders>
            <w:shd w:val="clear" w:color="auto" w:fill="auto"/>
          </w:tcPr>
          <w:p w:rsidR="005A2236" w:rsidRPr="00A1749B" w:rsidRDefault="00A1749B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en-GB"/>
              </w:rPr>
            </w:pPr>
            <w:r w:rsidRPr="00A1749B">
              <w:rPr>
                <w:b/>
                <w:sz w:val="16"/>
                <w:szCs w:val="16"/>
                <w:lang w:val="en-GB"/>
              </w:rPr>
              <w:t>Exemption limit acc. to ADR - GGBV</w:t>
            </w:r>
          </w:p>
        </w:tc>
      </w:tr>
      <w:tr w:rsidR="005A2236" w:rsidRPr="005A2236" w:rsidTr="003F215E">
        <w:tc>
          <w:tcPr>
            <w:tcW w:w="1531" w:type="dxa"/>
            <w:shd w:val="clear" w:color="auto" w:fill="F2F2F2" w:themeFill="background1" w:themeFillShade="F2"/>
            <w:vAlign w:val="center"/>
          </w:tcPr>
          <w:p w:rsidR="005A2236" w:rsidRPr="005A2236" w:rsidRDefault="005A2236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5A2236">
              <w:rPr>
                <w:sz w:val="16"/>
                <w:szCs w:val="16"/>
                <w:lang w:val="de-CH"/>
              </w:rPr>
              <w:t>6.2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A2236" w:rsidRPr="005A2236" w:rsidRDefault="005A2236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5A2236">
              <w:rPr>
                <w:sz w:val="16"/>
                <w:szCs w:val="16"/>
                <w:lang w:val="de-CH"/>
              </w:rPr>
              <w:t>B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:rsidR="005A2236" w:rsidRPr="005A2236" w:rsidRDefault="005A2236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5A2236">
              <w:rPr>
                <w:sz w:val="16"/>
                <w:szCs w:val="16"/>
                <w:lang w:val="de-CH"/>
              </w:rPr>
              <w:t>3291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A2236" w:rsidRPr="005A2236" w:rsidRDefault="005A2236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5A2236">
              <w:rPr>
                <w:sz w:val="16"/>
                <w:szCs w:val="16"/>
                <w:lang w:val="de-CH"/>
              </w:rPr>
              <w:t>II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5A2236" w:rsidRPr="005A2236" w:rsidRDefault="00A1749B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A1749B">
              <w:rPr>
                <w:sz w:val="16"/>
                <w:szCs w:val="16"/>
                <w:lang w:val="en-GB"/>
              </w:rPr>
              <w:t>333 kg or litres</w:t>
            </w:r>
          </w:p>
        </w:tc>
      </w:tr>
    </w:tbl>
    <w:p w:rsidR="00852AF0" w:rsidRDefault="00852AF0">
      <w:pPr>
        <w:sectPr w:rsidR="00852AF0" w:rsidSect="004E03D2">
          <w:headerReference w:type="default" r:id="rId8"/>
          <w:pgSz w:w="11906" w:h="16838" w:code="9"/>
          <w:pgMar w:top="2892" w:right="1021" w:bottom="794" w:left="1021" w:header="850" w:footer="0" w:gutter="0"/>
          <w:cols w:space="708"/>
          <w:docGrid w:linePitch="360"/>
        </w:sectPr>
      </w:pPr>
    </w:p>
    <w:p w:rsidR="00852AF0" w:rsidRPr="00A1749B" w:rsidRDefault="00626941" w:rsidP="00626941">
      <w:pPr>
        <w:pStyle w:val="03BAFUUntertitel"/>
        <w:ind w:left="392" w:hanging="392"/>
        <w:rPr>
          <w:rStyle w:val="05BAFUGrundschriftkursiv"/>
        </w:rPr>
      </w:pPr>
      <w:r w:rsidRPr="00A1749B">
        <w:rPr>
          <w:noProof/>
          <w:lang w:eastAsia="de-CH"/>
        </w:rPr>
        <w:lastRenderedPageBreak/>
        <w:t>2.2</w:t>
      </w:r>
      <w:r w:rsidRPr="00A1749B">
        <w:rPr>
          <w:noProof/>
          <w:lang w:eastAsia="de-CH"/>
        </w:rPr>
        <w:tab/>
      </w:r>
      <w:r w:rsidR="00A1749B" w:rsidRPr="00A1749B">
        <w:rPr>
          <w:noProof/>
          <w:lang w:eastAsia="de-CH"/>
        </w:rPr>
        <w:t>Disposal plan for solid waste</w:t>
      </w:r>
      <w:r w:rsidR="00ED7710" w:rsidRPr="00A1749B">
        <w:rPr>
          <w:rStyle w:val="05BAFUGrundschriftkursiv"/>
          <w:b w:val="0"/>
          <w:i w:val="0"/>
        </w:rPr>
        <w:br/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4364"/>
        <w:gridCol w:w="6591"/>
        <w:gridCol w:w="2881"/>
        <w:gridCol w:w="656"/>
      </w:tblGrid>
      <w:tr w:rsidR="00626941" w:rsidRPr="00626941" w:rsidTr="00626941">
        <w:trPr>
          <w:trHeight w:val="20"/>
          <w:tblHeader/>
        </w:trPr>
        <w:tc>
          <w:tcPr>
            <w:tcW w:w="230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extDirection w:val="btLr"/>
            <w:vAlign w:val="center"/>
          </w:tcPr>
          <w:p w:rsidR="00626941" w:rsidRPr="00A1749B" w:rsidRDefault="00626941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36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626941" w:rsidRPr="00626941" w:rsidRDefault="00196C21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r w:rsidRPr="00196C21">
              <w:rPr>
                <w:rFonts w:ascii="Arial" w:hAnsi="Arial" w:cs="Arial"/>
                <w:b/>
                <w:sz w:val="16"/>
                <w:szCs w:val="16"/>
                <w:lang w:val="en-GB"/>
              </w:rPr>
              <w:t>Solid waste</w:t>
            </w:r>
          </w:p>
        </w:tc>
        <w:tc>
          <w:tcPr>
            <w:tcW w:w="2169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626941" w:rsidRPr="00626941" w:rsidRDefault="00196C21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r w:rsidRPr="00196C21">
              <w:rPr>
                <w:rFonts w:ascii="Arial" w:hAnsi="Arial" w:cs="Arial"/>
                <w:b/>
                <w:sz w:val="16"/>
                <w:szCs w:val="16"/>
                <w:lang w:val="en-GB"/>
              </w:rPr>
              <w:t>How</w:t>
            </w:r>
            <w:r w:rsidR="00626941" w:rsidRPr="0062694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48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626941" w:rsidRPr="00626941" w:rsidRDefault="00196C21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r w:rsidRPr="00196C21">
              <w:rPr>
                <w:rFonts w:ascii="Arial" w:hAnsi="Arial" w:cs="Arial"/>
                <w:b/>
                <w:sz w:val="16"/>
                <w:szCs w:val="16"/>
                <w:lang w:val="en-GB"/>
              </w:rPr>
              <w:t>When / frequency</w:t>
            </w:r>
          </w:p>
        </w:tc>
        <w:tc>
          <w:tcPr>
            <w:tcW w:w="216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626941" w:rsidRPr="00626941" w:rsidRDefault="00626941" w:rsidP="00196C21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r w:rsidRPr="00626941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="00196C21">
              <w:rPr>
                <w:rFonts w:ascii="Arial" w:hAnsi="Arial" w:cs="Arial"/>
                <w:b/>
                <w:sz w:val="16"/>
                <w:szCs w:val="16"/>
              </w:rPr>
              <w:t>ho</w:t>
            </w:r>
          </w:p>
        </w:tc>
      </w:tr>
      <w:tr w:rsidR="006F131A" w:rsidRPr="006F131A" w:rsidTr="00FC4611">
        <w:trPr>
          <w:trHeight w:val="20"/>
        </w:trPr>
        <w:tc>
          <w:tcPr>
            <w:tcW w:w="230" w:type="pct"/>
            <w:vMerge w:val="restart"/>
            <w:tcBorders>
              <w:top w:val="nil"/>
            </w:tcBorders>
            <w:shd w:val="clear" w:color="auto" w:fill="D9D9D9" w:themeFill="background1" w:themeFillShade="D9"/>
            <w:textDirection w:val="btLr"/>
            <w:vAlign w:val="center"/>
          </w:tcPr>
          <w:p w:rsidR="006F131A" w:rsidRPr="006F131A" w:rsidRDefault="006F131A" w:rsidP="006F131A">
            <w:pPr>
              <w:pStyle w:val="Tabelle"/>
              <w:spacing w:line="240" w:lineRule="exact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6F131A">
              <w:rPr>
                <w:rFonts w:cs="Arial"/>
                <w:b/>
                <w:sz w:val="16"/>
                <w:szCs w:val="16"/>
                <w:lang w:val="en-GB"/>
              </w:rPr>
              <w:t>Description of waste and collection</w:t>
            </w:r>
          </w:p>
        </w:tc>
        <w:tc>
          <w:tcPr>
            <w:tcW w:w="1436" w:type="pct"/>
            <w:tcBorders>
              <w:top w:val="nil"/>
            </w:tcBorders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</w:pPr>
            <w:r>
              <w:t>Principles of solid waste separation</w:t>
            </w:r>
          </w:p>
        </w:tc>
        <w:tc>
          <w:tcPr>
            <w:tcW w:w="2169" w:type="pct"/>
            <w:tcBorders>
              <w:top w:val="nil"/>
            </w:tcBorders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</w:pPr>
            <w:r>
              <w:t xml:space="preserve">Glass waste is to </w:t>
            </w:r>
            <w:proofErr w:type="gramStart"/>
            <w:r>
              <w:t>be collected</w:t>
            </w:r>
            <w:proofErr w:type="gramEnd"/>
            <w:r>
              <w:t xml:space="preserve"> separately from plastic waste and from waste involving risk of injury.</w:t>
            </w:r>
          </w:p>
        </w:tc>
        <w:tc>
          <w:tcPr>
            <w:tcW w:w="948" w:type="pct"/>
            <w:tcBorders>
              <w:top w:val="nil"/>
            </w:tcBorders>
            <w:shd w:val="clear" w:color="auto" w:fill="F2F2F2" w:themeFill="background1" w:themeFillShade="F2"/>
          </w:tcPr>
          <w:p w:rsidR="006F131A" w:rsidRPr="006F131A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216" w:type="pct"/>
            <w:tcBorders>
              <w:top w:val="nil"/>
            </w:tcBorders>
            <w:shd w:val="clear" w:color="auto" w:fill="F2F2F2" w:themeFill="background1" w:themeFillShade="F2"/>
          </w:tcPr>
          <w:p w:rsidR="006F131A" w:rsidRPr="006F131A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6F131A" w:rsidRPr="006F131A" w:rsidTr="00FC4611">
        <w:trPr>
          <w:trHeight w:val="863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6F131A" w:rsidRPr="006F131A" w:rsidRDefault="006F131A" w:rsidP="006F131A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</w:pPr>
            <w:r>
              <w:t>Contaminated consumables involving risk of injury (</w:t>
            </w:r>
            <w:r>
              <w:rPr>
                <w:i/>
              </w:rPr>
              <w:t>sharps</w:t>
            </w:r>
            <w:r>
              <w:t xml:space="preserve">): e.g. syringes, scalpels and injection needles </w:t>
            </w:r>
          </w:p>
        </w:tc>
        <w:tc>
          <w:tcPr>
            <w:tcW w:w="2169" w:type="pct"/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</w:pPr>
            <w:r>
              <w:t xml:space="preserve">Collect in puncture-proof, non-transparent, dense plastic </w:t>
            </w:r>
            <w:proofErr w:type="gramStart"/>
            <w:r>
              <w:t>containers which</w:t>
            </w:r>
            <w:proofErr w:type="gramEnd"/>
            <w:r>
              <w:t xml:space="preserve"> can be closed tightly and, when closed, cannot be reopened. </w:t>
            </w:r>
          </w:p>
        </w:tc>
        <w:tc>
          <w:tcPr>
            <w:tcW w:w="948" w:type="pct"/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</w:pPr>
            <w:r>
              <w:t>As required, but before the point when collecting containers can no longer be closed safety.</w:t>
            </w:r>
          </w:p>
        </w:tc>
        <w:tc>
          <w:tcPr>
            <w:tcW w:w="216" w:type="pct"/>
            <w:shd w:val="clear" w:color="auto" w:fill="F2F2F2" w:themeFill="background1" w:themeFillShade="F2"/>
          </w:tcPr>
          <w:p w:rsidR="006F131A" w:rsidRPr="006F131A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6F131A" w:rsidRPr="006F131A" w:rsidTr="00FC4611">
        <w:trPr>
          <w:trHeight w:val="564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6F131A" w:rsidRPr="006F131A" w:rsidRDefault="006F131A" w:rsidP="006F131A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  <w:rPr>
                <w:szCs w:val="22"/>
              </w:rPr>
            </w:pPr>
            <w:r>
              <w:rPr>
                <w:szCs w:val="22"/>
              </w:rPr>
              <w:t>Cultures of microorganisms (e.g. agar plates, plastic cell culture bottles with no culture medium)</w:t>
            </w:r>
          </w:p>
        </w:tc>
        <w:tc>
          <w:tcPr>
            <w:tcW w:w="2169" w:type="pct"/>
            <w:vMerge w:val="restart"/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  <w:rPr>
                <w:szCs w:val="22"/>
              </w:rPr>
            </w:pPr>
            <w:proofErr w:type="gramStart"/>
            <w:r>
              <w:rPr>
                <w:szCs w:val="22"/>
              </w:rPr>
              <w:t>Collect together</w:t>
            </w:r>
            <w:proofErr w:type="gramEnd"/>
            <w:r>
              <w:rPr>
                <w:szCs w:val="22"/>
              </w:rPr>
              <w:t xml:space="preserve"> or separately in </w:t>
            </w:r>
            <w:proofErr w:type="spellStart"/>
            <w:r>
              <w:rPr>
                <w:szCs w:val="22"/>
              </w:rPr>
              <w:t>autoclavable</w:t>
            </w:r>
            <w:proofErr w:type="spellEnd"/>
            <w:r>
              <w:rPr>
                <w:szCs w:val="22"/>
              </w:rPr>
              <w:t xml:space="preserve"> bags in strong, leak-proof, lidded containers.</w:t>
            </w:r>
          </w:p>
        </w:tc>
        <w:tc>
          <w:tcPr>
            <w:tcW w:w="948" w:type="pct"/>
            <w:vMerge w:val="restart"/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  <w:rPr>
                <w:szCs w:val="22"/>
              </w:rPr>
            </w:pPr>
            <w:r>
              <w:t xml:space="preserve">As required or when bags are, at most, </w:t>
            </w:r>
            <w:r>
              <w:rPr>
                <w:szCs w:val="22"/>
              </w:rPr>
              <w:t xml:space="preserve">2/3 </w:t>
            </w:r>
            <w:proofErr w:type="gramStart"/>
            <w:r>
              <w:rPr>
                <w:szCs w:val="22"/>
              </w:rPr>
              <w:t>full;</w:t>
            </w:r>
            <w:proofErr w:type="gramEnd"/>
            <w:r>
              <w:rPr>
                <w:szCs w:val="22"/>
              </w:rPr>
              <w:t xml:space="preserve"> do not compress!</w:t>
            </w:r>
          </w:p>
        </w:tc>
        <w:tc>
          <w:tcPr>
            <w:tcW w:w="216" w:type="pct"/>
            <w:shd w:val="clear" w:color="auto" w:fill="F2F2F2" w:themeFill="background1" w:themeFillShade="F2"/>
          </w:tcPr>
          <w:p w:rsidR="006F131A" w:rsidRPr="006F131A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6F131A" w:rsidRPr="006F131A" w:rsidTr="00FC4611">
        <w:trPr>
          <w:trHeight w:val="564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6F131A" w:rsidRPr="006F131A" w:rsidRDefault="006F131A" w:rsidP="006F131A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  <w:rPr>
                <w:szCs w:val="22"/>
              </w:rPr>
            </w:pPr>
            <w:r>
              <w:t xml:space="preserve">Contaminated consumables with no risk of injury </w:t>
            </w:r>
            <w:r>
              <w:rPr>
                <w:szCs w:val="22"/>
              </w:rPr>
              <w:t>(pipette tips, plastic pipettes, Eppendorf tubes, plastic containers, disposable gloves)</w:t>
            </w:r>
          </w:p>
        </w:tc>
        <w:tc>
          <w:tcPr>
            <w:tcW w:w="2169" w:type="pct"/>
            <w:vMerge/>
            <w:shd w:val="clear" w:color="auto" w:fill="F2F2F2" w:themeFill="background1" w:themeFillShade="F2"/>
          </w:tcPr>
          <w:p w:rsidR="006F131A" w:rsidRPr="006F131A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48" w:type="pct"/>
            <w:vMerge/>
            <w:shd w:val="clear" w:color="auto" w:fill="F2F2F2" w:themeFill="background1" w:themeFillShade="F2"/>
          </w:tcPr>
          <w:p w:rsidR="006F131A" w:rsidRPr="006F131A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</w:tcPr>
          <w:p w:rsidR="006F131A" w:rsidRPr="006F131A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6F131A" w:rsidRPr="00626941" w:rsidTr="00FC4611">
        <w:trPr>
          <w:trHeight w:val="564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6F131A" w:rsidRPr="006F131A" w:rsidRDefault="006F131A" w:rsidP="006F131A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6F131A" w:rsidRDefault="006F131A" w:rsidP="006F131A">
            <w:pPr>
              <w:pStyle w:val="07BAFUTabellelinks"/>
              <w:rPr>
                <w:szCs w:val="22"/>
              </w:rPr>
            </w:pPr>
            <w:r>
              <w:rPr>
                <w:szCs w:val="22"/>
              </w:rPr>
              <w:t>Diagnostic samples (blood samples, secretions, excreta, tissue samples etc. in plastic tubes)</w:t>
            </w:r>
          </w:p>
        </w:tc>
        <w:tc>
          <w:tcPr>
            <w:tcW w:w="2169" w:type="pct"/>
            <w:vMerge/>
            <w:shd w:val="clear" w:color="auto" w:fill="F2F2F2" w:themeFill="background1" w:themeFillShade="F2"/>
          </w:tcPr>
          <w:p w:rsidR="006F131A" w:rsidRPr="00626941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  <w:tc>
          <w:tcPr>
            <w:tcW w:w="948" w:type="pct"/>
            <w:vMerge/>
            <w:shd w:val="clear" w:color="auto" w:fill="F2F2F2" w:themeFill="background1" w:themeFillShade="F2"/>
          </w:tcPr>
          <w:p w:rsidR="006F131A" w:rsidRPr="00626941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</w:tcPr>
          <w:p w:rsidR="006F131A" w:rsidRPr="00626941" w:rsidRDefault="006F131A" w:rsidP="006F131A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</w:tr>
      <w:tr w:rsidR="00626941" w:rsidRPr="00D04687" w:rsidTr="001C0228">
        <w:trPr>
          <w:trHeight w:val="1048"/>
        </w:trPr>
        <w:tc>
          <w:tcPr>
            <w:tcW w:w="230" w:type="pct"/>
            <w:textDirection w:val="btLr"/>
            <w:vAlign w:val="center"/>
          </w:tcPr>
          <w:p w:rsidR="00626941" w:rsidRPr="00626941" w:rsidRDefault="00D04687" w:rsidP="001C0228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r w:rsidRPr="00D04687">
              <w:rPr>
                <w:rFonts w:cs="Arial"/>
                <w:b/>
                <w:sz w:val="16"/>
                <w:szCs w:val="16"/>
                <w:lang w:val="en-GB"/>
              </w:rPr>
              <w:t>Labelling</w:t>
            </w:r>
          </w:p>
        </w:tc>
        <w:tc>
          <w:tcPr>
            <w:tcW w:w="1436" w:type="pct"/>
          </w:tcPr>
          <w:p w:rsidR="00626941" w:rsidRPr="00626941" w:rsidRDefault="00626941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  <w:tc>
          <w:tcPr>
            <w:tcW w:w="2169" w:type="pct"/>
          </w:tcPr>
          <w:p w:rsidR="00D04687" w:rsidRPr="00D04687" w:rsidRDefault="00D04687" w:rsidP="00D04687">
            <w:pPr>
              <w:pStyle w:val="07BAFUTabellelinks"/>
            </w:pPr>
            <w:r w:rsidRPr="00D04687">
              <w:t xml:space="preserve">Label all waste containers or bags with the </w:t>
            </w:r>
            <w:proofErr w:type="gramStart"/>
            <w:r w:rsidRPr="00D04687">
              <w:t>biohazard warning</w:t>
            </w:r>
            <w:proofErr w:type="gramEnd"/>
            <w:r w:rsidRPr="00D04687">
              <w:t xml:space="preserve"> symbol.</w:t>
            </w:r>
          </w:p>
          <w:p w:rsidR="00D04687" w:rsidRPr="00D04687" w:rsidRDefault="00D04687" w:rsidP="00D04687">
            <w:pPr>
              <w:pStyle w:val="07BAFUTabellelinks"/>
            </w:pPr>
            <w:r w:rsidRPr="00D04687">
              <w:t xml:space="preserve">Wastes with a risk of injury </w:t>
            </w:r>
            <w:proofErr w:type="gramStart"/>
            <w:r w:rsidRPr="00D04687">
              <w:t>must be labelled</w:t>
            </w:r>
            <w:proofErr w:type="gramEnd"/>
            <w:r w:rsidRPr="00D04687">
              <w:t xml:space="preserve"> as such (e.g. “Beware needles”).</w:t>
            </w:r>
          </w:p>
          <w:p w:rsidR="00626941" w:rsidRPr="00D04687" w:rsidRDefault="00D04687" w:rsidP="00D04687">
            <w:pPr>
              <w:pStyle w:val="07BAFUTabellelinks"/>
            </w:pPr>
            <w:r w:rsidRPr="00D04687">
              <w:t xml:space="preserve">A temperature-sensitive indicator </w:t>
            </w:r>
            <w:proofErr w:type="gramStart"/>
            <w:r w:rsidRPr="00D04687">
              <w:t>must be attached</w:t>
            </w:r>
            <w:proofErr w:type="gramEnd"/>
            <w:r w:rsidRPr="00D04687">
              <w:t xml:space="preserve"> to waste containers and bags before they are autoclaved.</w:t>
            </w:r>
          </w:p>
        </w:tc>
        <w:tc>
          <w:tcPr>
            <w:tcW w:w="948" w:type="pct"/>
          </w:tcPr>
          <w:p w:rsidR="00626941" w:rsidRPr="00D04687" w:rsidRDefault="00626941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216" w:type="pct"/>
          </w:tcPr>
          <w:p w:rsidR="00626941" w:rsidRPr="00D04687" w:rsidRDefault="00626941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626941" w:rsidRPr="00626941" w:rsidTr="00FC4611">
        <w:trPr>
          <w:trHeight w:val="20"/>
        </w:trPr>
        <w:tc>
          <w:tcPr>
            <w:tcW w:w="230" w:type="pct"/>
            <w:shd w:val="clear" w:color="auto" w:fill="D9D9D9" w:themeFill="background1" w:themeFillShade="D9"/>
            <w:textDirection w:val="btLr"/>
            <w:vAlign w:val="center"/>
          </w:tcPr>
          <w:p w:rsidR="00626941" w:rsidRPr="00626941" w:rsidRDefault="005663E4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r>
              <w:rPr>
                <w:rFonts w:cs="Arial"/>
                <w:b/>
                <w:sz w:val="16"/>
                <w:szCs w:val="16"/>
                <w:lang w:val="en-GB"/>
              </w:rPr>
              <w:t>S</w:t>
            </w:r>
            <w:r w:rsidRPr="005663E4">
              <w:rPr>
                <w:rFonts w:cs="Arial"/>
                <w:b/>
                <w:sz w:val="16"/>
                <w:szCs w:val="16"/>
                <w:lang w:val="en-GB"/>
              </w:rPr>
              <w:t>torage</w:t>
            </w:r>
          </w:p>
        </w:tc>
        <w:tc>
          <w:tcPr>
            <w:tcW w:w="1436" w:type="pct"/>
            <w:shd w:val="clear" w:color="auto" w:fill="F2F2F2" w:themeFill="background1" w:themeFillShade="F2"/>
          </w:tcPr>
          <w:p w:rsidR="00626941" w:rsidRPr="005663E4" w:rsidRDefault="005663E4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  <w:r w:rsidRPr="005663E4">
              <w:rPr>
                <w:rFonts w:cs="Arial"/>
                <w:sz w:val="16"/>
                <w:szCs w:val="16"/>
                <w:lang w:val="en-GB"/>
              </w:rPr>
              <w:t>Temporary storage in the laboratory</w:t>
            </w:r>
          </w:p>
        </w:tc>
        <w:tc>
          <w:tcPr>
            <w:tcW w:w="2169" w:type="pct"/>
            <w:shd w:val="clear" w:color="auto" w:fill="F2F2F2" w:themeFill="background1" w:themeFillShade="F2"/>
          </w:tcPr>
          <w:p w:rsidR="005663E4" w:rsidRPr="005663E4" w:rsidRDefault="005663E4" w:rsidP="005663E4">
            <w:pPr>
              <w:pStyle w:val="Tabelle"/>
              <w:rPr>
                <w:rFonts w:cs="Arial"/>
                <w:sz w:val="16"/>
                <w:szCs w:val="16"/>
                <w:lang w:val="en-GB"/>
              </w:rPr>
            </w:pPr>
            <w:r w:rsidRPr="005663E4">
              <w:rPr>
                <w:rFonts w:cs="Arial"/>
                <w:sz w:val="16"/>
                <w:szCs w:val="16"/>
                <w:lang w:val="en-GB"/>
              </w:rPr>
              <w:t xml:space="preserve">Open containers and small bags (up to max. 2 litres) may be stored briefly in the bio-safety workbench, though they must be disposed of in bigger bio-safety bags at least once a week. </w:t>
            </w:r>
          </w:p>
          <w:p w:rsidR="00626941" w:rsidRPr="005663E4" w:rsidRDefault="005663E4" w:rsidP="005663E4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  <w:r w:rsidRPr="005663E4">
              <w:rPr>
                <w:rFonts w:cs="Arial"/>
                <w:sz w:val="16"/>
                <w:szCs w:val="16"/>
                <w:lang w:val="en-GB"/>
              </w:rPr>
              <w:t>Full, closed biohazard plastic bags are to be stored temporarily in a container.</w:t>
            </w:r>
          </w:p>
        </w:tc>
        <w:tc>
          <w:tcPr>
            <w:tcW w:w="948" w:type="pct"/>
            <w:shd w:val="clear" w:color="auto" w:fill="F2F2F2" w:themeFill="background1" w:themeFillShade="F2"/>
          </w:tcPr>
          <w:p w:rsidR="00626941" w:rsidRPr="00626941" w:rsidRDefault="005663E4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5663E4">
              <w:rPr>
                <w:rFonts w:cs="Arial"/>
                <w:sz w:val="16"/>
                <w:szCs w:val="16"/>
                <w:lang w:val="en-GB"/>
              </w:rPr>
              <w:t>Weekly</w:t>
            </w:r>
          </w:p>
        </w:tc>
        <w:tc>
          <w:tcPr>
            <w:tcW w:w="216" w:type="pct"/>
            <w:shd w:val="clear" w:color="auto" w:fill="F2F2F2" w:themeFill="background1" w:themeFillShade="F2"/>
          </w:tcPr>
          <w:p w:rsidR="00626941" w:rsidRPr="00626941" w:rsidRDefault="00626941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</w:tr>
      <w:tr w:rsidR="00626941" w:rsidRPr="00626941" w:rsidTr="00C76B89">
        <w:trPr>
          <w:trHeight w:val="273"/>
        </w:trPr>
        <w:tc>
          <w:tcPr>
            <w:tcW w:w="230" w:type="pct"/>
            <w:textDirection w:val="btLr"/>
            <w:vAlign w:val="center"/>
          </w:tcPr>
          <w:p w:rsidR="00C76B89" w:rsidRDefault="00626941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r w:rsidRPr="00626941">
              <w:rPr>
                <w:rFonts w:cs="Arial"/>
                <w:b/>
                <w:sz w:val="16"/>
                <w:szCs w:val="16"/>
                <w:lang w:val="de-CH"/>
              </w:rPr>
              <w:t>Trans</w:t>
            </w:r>
            <w:r w:rsidR="00C76B89">
              <w:rPr>
                <w:rFonts w:cs="Arial"/>
                <w:b/>
                <w:sz w:val="16"/>
                <w:szCs w:val="16"/>
                <w:lang w:val="de-CH"/>
              </w:rPr>
              <w:t>-</w:t>
            </w:r>
          </w:p>
          <w:p w:rsidR="00626941" w:rsidRPr="00626941" w:rsidRDefault="00626941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proofErr w:type="spellStart"/>
            <w:r w:rsidRPr="00626941">
              <w:rPr>
                <w:rFonts w:cs="Arial"/>
                <w:b/>
                <w:sz w:val="16"/>
                <w:szCs w:val="16"/>
                <w:lang w:val="de-CH"/>
              </w:rPr>
              <w:t>port</w:t>
            </w:r>
            <w:proofErr w:type="spellEnd"/>
          </w:p>
        </w:tc>
        <w:tc>
          <w:tcPr>
            <w:tcW w:w="1436" w:type="pct"/>
          </w:tcPr>
          <w:p w:rsidR="00626941" w:rsidRPr="00A14BD2" w:rsidRDefault="00A14BD2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  <w:r w:rsidRPr="00A14BD2">
              <w:rPr>
                <w:rFonts w:cs="Arial"/>
                <w:sz w:val="16"/>
                <w:szCs w:val="16"/>
                <w:lang w:val="en-GB"/>
              </w:rPr>
              <w:t>Transport to the treatment site</w:t>
            </w:r>
          </w:p>
        </w:tc>
        <w:tc>
          <w:tcPr>
            <w:tcW w:w="2169" w:type="pct"/>
          </w:tcPr>
          <w:p w:rsidR="00626941" w:rsidRPr="00A14BD2" w:rsidRDefault="00A14BD2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  <w:r w:rsidRPr="00A14BD2">
              <w:rPr>
                <w:rFonts w:cs="Arial"/>
                <w:sz w:val="16"/>
                <w:szCs w:val="16"/>
                <w:lang w:val="en-GB"/>
              </w:rPr>
              <w:t xml:space="preserve">Containers must be brought to the autoclave by the most direct route and the material must be inactivated </w:t>
            </w:r>
            <w:proofErr w:type="gramStart"/>
            <w:r w:rsidRPr="00A14BD2">
              <w:rPr>
                <w:rFonts w:cs="Arial"/>
                <w:b/>
                <w:sz w:val="16"/>
                <w:szCs w:val="16"/>
                <w:lang w:val="en-GB"/>
              </w:rPr>
              <w:t>without delay</w:t>
            </w:r>
            <w:proofErr w:type="gramEnd"/>
            <w:r w:rsidRPr="00A14BD2">
              <w:rPr>
                <w:rFonts w:cs="Arial"/>
                <w:sz w:val="16"/>
                <w:szCs w:val="16"/>
                <w:lang w:val="en-GB"/>
              </w:rPr>
              <w:t xml:space="preserve"> and without further temporary storage.</w:t>
            </w:r>
          </w:p>
        </w:tc>
        <w:tc>
          <w:tcPr>
            <w:tcW w:w="948" w:type="pct"/>
          </w:tcPr>
          <w:p w:rsidR="00626941" w:rsidRPr="00626941" w:rsidRDefault="00A14BD2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proofErr w:type="spellStart"/>
            <w:r w:rsidRPr="00A14BD2">
              <w:rPr>
                <w:rFonts w:cs="Arial"/>
                <w:sz w:val="16"/>
                <w:szCs w:val="16"/>
                <w:lang w:val="de-CH"/>
              </w:rPr>
              <w:t>Weekly</w:t>
            </w:r>
            <w:proofErr w:type="spellEnd"/>
          </w:p>
        </w:tc>
        <w:tc>
          <w:tcPr>
            <w:tcW w:w="216" w:type="pct"/>
          </w:tcPr>
          <w:p w:rsidR="00626941" w:rsidRPr="00626941" w:rsidRDefault="00626941" w:rsidP="006E0165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</w:tr>
      <w:tr w:rsidR="00A14BD2" w:rsidRPr="00A14BD2" w:rsidTr="00FC4611">
        <w:trPr>
          <w:trHeight w:val="20"/>
        </w:trPr>
        <w:tc>
          <w:tcPr>
            <w:tcW w:w="230" w:type="pct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A14BD2" w:rsidRPr="00626941" w:rsidRDefault="00A14BD2" w:rsidP="00A14BD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r w:rsidRPr="00626941">
              <w:rPr>
                <w:rFonts w:cs="Arial"/>
                <w:b/>
                <w:sz w:val="16"/>
                <w:szCs w:val="16"/>
                <w:lang w:val="de-CH"/>
              </w:rPr>
              <w:t>Inaktivie</w:t>
            </w:r>
            <w:r w:rsidRPr="00626941">
              <w:rPr>
                <w:rFonts w:cs="Arial"/>
                <w:b/>
                <w:sz w:val="16"/>
                <w:szCs w:val="16"/>
                <w:lang w:val="de-CH"/>
              </w:rPr>
              <w:softHyphen/>
              <w:t>rung</w:t>
            </w:r>
          </w:p>
        </w:tc>
        <w:tc>
          <w:tcPr>
            <w:tcW w:w="1436" w:type="pct"/>
            <w:shd w:val="clear" w:color="auto" w:fill="F2F2F2" w:themeFill="background1" w:themeFillShade="F2"/>
          </w:tcPr>
          <w:p w:rsidR="00A14BD2" w:rsidRPr="00626941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A14BD2">
              <w:rPr>
                <w:rFonts w:cs="Arial"/>
                <w:sz w:val="16"/>
                <w:szCs w:val="16"/>
                <w:lang w:val="en-GB"/>
              </w:rPr>
              <w:t>Charging the autoclave</w:t>
            </w:r>
          </w:p>
        </w:tc>
        <w:tc>
          <w:tcPr>
            <w:tcW w:w="2169" w:type="pct"/>
            <w:shd w:val="clear" w:color="auto" w:fill="F2F2F2" w:themeFill="background1" w:themeFillShade="F2"/>
          </w:tcPr>
          <w:p w:rsidR="00A14BD2" w:rsidRDefault="00A14BD2" w:rsidP="00A14BD2">
            <w:pPr>
              <w:pStyle w:val="07BAFUTabellelinks"/>
            </w:pPr>
            <w:r>
              <w:t xml:space="preserve">The autoclave </w:t>
            </w:r>
            <w:proofErr w:type="gramStart"/>
            <w:r>
              <w:t>must be charged and operated by personnel with appropriate expertise</w:t>
            </w:r>
            <w:proofErr w:type="gramEnd"/>
            <w:r>
              <w:t>.</w:t>
            </w:r>
          </w:p>
        </w:tc>
        <w:tc>
          <w:tcPr>
            <w:tcW w:w="948" w:type="pct"/>
            <w:shd w:val="clear" w:color="auto" w:fill="F2F2F2" w:themeFill="background1" w:themeFillShade="F2"/>
          </w:tcPr>
          <w:p w:rsidR="00A14BD2" w:rsidRPr="00A14BD2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</w:tcPr>
          <w:p w:rsidR="00A14BD2" w:rsidRPr="00A14BD2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A14BD2" w:rsidRPr="00A14BD2" w:rsidTr="00FC4611">
        <w:trPr>
          <w:trHeight w:val="20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A14BD2" w:rsidRPr="00A14BD2" w:rsidRDefault="00A14BD2" w:rsidP="00A14BD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A14BD2" w:rsidRPr="00626941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A14BD2">
              <w:rPr>
                <w:rFonts w:cs="Arial"/>
                <w:sz w:val="16"/>
                <w:szCs w:val="16"/>
                <w:lang w:val="en-GB"/>
              </w:rPr>
              <w:t>Monitoring inactivation</w:t>
            </w:r>
          </w:p>
        </w:tc>
        <w:tc>
          <w:tcPr>
            <w:tcW w:w="2169" w:type="pct"/>
            <w:shd w:val="clear" w:color="auto" w:fill="F2F2F2" w:themeFill="background1" w:themeFillShade="F2"/>
          </w:tcPr>
          <w:p w:rsidR="00A14BD2" w:rsidRDefault="00A14BD2" w:rsidP="00A14BD2">
            <w:pPr>
              <w:pStyle w:val="07BAFUTabellelinks"/>
            </w:pPr>
            <w:r>
              <w:t>Collect and archive autoclave logs.</w:t>
            </w:r>
          </w:p>
        </w:tc>
        <w:tc>
          <w:tcPr>
            <w:tcW w:w="948" w:type="pct"/>
            <w:shd w:val="clear" w:color="auto" w:fill="F2F2F2" w:themeFill="background1" w:themeFillShade="F2"/>
          </w:tcPr>
          <w:p w:rsidR="00A14BD2" w:rsidRPr="00A14BD2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</w:tcPr>
          <w:p w:rsidR="00A14BD2" w:rsidRPr="00A14BD2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A14BD2" w:rsidRPr="00A14BD2" w:rsidTr="00FC4611">
        <w:trPr>
          <w:trHeight w:val="20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A14BD2" w:rsidRPr="00A14BD2" w:rsidRDefault="00A14BD2" w:rsidP="00A14BD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A14BD2" w:rsidRPr="00626941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A14BD2">
              <w:rPr>
                <w:rFonts w:cs="Arial"/>
                <w:sz w:val="16"/>
                <w:szCs w:val="16"/>
                <w:lang w:val="en-GB"/>
              </w:rPr>
              <w:t>Servicing the equipment</w:t>
            </w:r>
          </w:p>
        </w:tc>
        <w:tc>
          <w:tcPr>
            <w:tcW w:w="2169" w:type="pct"/>
            <w:shd w:val="clear" w:color="auto" w:fill="F2F2F2" w:themeFill="background1" w:themeFillShade="F2"/>
          </w:tcPr>
          <w:p w:rsidR="00A14BD2" w:rsidRDefault="00A14BD2" w:rsidP="00A14BD2">
            <w:pPr>
              <w:pStyle w:val="07BAFUTabellelinks"/>
            </w:pPr>
            <w:r>
              <w:t xml:space="preserve">The autoclave </w:t>
            </w:r>
            <w:proofErr w:type="gramStart"/>
            <w:r>
              <w:t>must be serviced</w:t>
            </w:r>
            <w:proofErr w:type="gramEnd"/>
            <w:r>
              <w:t xml:space="preserve"> in accordance with the service plan.</w:t>
            </w:r>
          </w:p>
        </w:tc>
        <w:tc>
          <w:tcPr>
            <w:tcW w:w="948" w:type="pct"/>
            <w:shd w:val="clear" w:color="auto" w:fill="F2F2F2" w:themeFill="background1" w:themeFillShade="F2"/>
          </w:tcPr>
          <w:p w:rsidR="00A14BD2" w:rsidRPr="00A14BD2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  <w:r w:rsidRPr="00A14BD2">
              <w:rPr>
                <w:rFonts w:cs="Arial"/>
                <w:sz w:val="16"/>
                <w:szCs w:val="16"/>
                <w:lang w:val="en-GB"/>
              </w:rPr>
              <w:t>At least once a year</w:t>
            </w:r>
          </w:p>
        </w:tc>
        <w:tc>
          <w:tcPr>
            <w:tcW w:w="216" w:type="pct"/>
            <w:shd w:val="clear" w:color="auto" w:fill="F2F2F2" w:themeFill="background1" w:themeFillShade="F2"/>
          </w:tcPr>
          <w:p w:rsidR="00A14BD2" w:rsidRPr="00A14BD2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A14BD2" w:rsidRPr="00A14BD2" w:rsidTr="00626941">
        <w:trPr>
          <w:trHeight w:val="20"/>
        </w:trPr>
        <w:tc>
          <w:tcPr>
            <w:tcW w:w="230" w:type="pct"/>
            <w:textDirection w:val="btLr"/>
            <w:vAlign w:val="center"/>
          </w:tcPr>
          <w:p w:rsidR="00A14BD2" w:rsidRPr="00626941" w:rsidRDefault="00A14BD2" w:rsidP="00A14BD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r w:rsidRPr="00A14BD2">
              <w:rPr>
                <w:rFonts w:cs="Arial"/>
                <w:b/>
                <w:sz w:val="16"/>
                <w:szCs w:val="16"/>
                <w:lang w:val="en-GB"/>
              </w:rPr>
              <w:t>Disposal</w:t>
            </w:r>
          </w:p>
        </w:tc>
        <w:tc>
          <w:tcPr>
            <w:tcW w:w="1436" w:type="pct"/>
          </w:tcPr>
          <w:p w:rsidR="00A14BD2" w:rsidRPr="00626941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A14BD2">
              <w:rPr>
                <w:rFonts w:cs="Arial"/>
                <w:sz w:val="16"/>
                <w:szCs w:val="16"/>
                <w:lang w:val="en-GB"/>
              </w:rPr>
              <w:t>Disposal of autoclaved waste</w:t>
            </w:r>
          </w:p>
        </w:tc>
        <w:tc>
          <w:tcPr>
            <w:tcW w:w="2169" w:type="pct"/>
          </w:tcPr>
          <w:p w:rsidR="00A14BD2" w:rsidRDefault="00A14BD2" w:rsidP="00A14BD2">
            <w:pPr>
              <w:pStyle w:val="07BAFUTabellelinks"/>
            </w:pPr>
            <w:r>
              <w:t xml:space="preserve">Glass </w:t>
            </w:r>
            <w:proofErr w:type="gramStart"/>
            <w:r>
              <w:t>waste which</w:t>
            </w:r>
            <w:proofErr w:type="gramEnd"/>
            <w:r>
              <w:t xml:space="preserve"> is not a problem and is comparable with domestic waste (e.g. broken culture tubes) is disposed of with the industrial waste in suitable packing with the necessary safety precautions to prevent injuries (cuts).</w:t>
            </w:r>
          </w:p>
          <w:p w:rsidR="00A14BD2" w:rsidRDefault="00A14BD2" w:rsidP="00A14BD2">
            <w:pPr>
              <w:pStyle w:val="07BAFUTabellelinks"/>
            </w:pPr>
            <w:r>
              <w:t>Waste involving risk of injury (</w:t>
            </w:r>
            <w:r>
              <w:rPr>
                <w:i/>
              </w:rPr>
              <w:t>sharps</w:t>
            </w:r>
            <w:r>
              <w:t>) is disposed of as special waste (see Chap. 2.1).</w:t>
            </w:r>
          </w:p>
          <w:p w:rsidR="00A14BD2" w:rsidRDefault="00A14BD2" w:rsidP="00A14BD2">
            <w:pPr>
              <w:pStyle w:val="07BAFUTabellelinks"/>
              <w:rPr>
                <w:color w:val="FF0000"/>
              </w:rPr>
            </w:pPr>
            <w:r>
              <w:t>Waste involving no risk of injury is to be disposed of with the normal industrial waste.</w:t>
            </w:r>
          </w:p>
          <w:p w:rsidR="00A14BD2" w:rsidRDefault="00A14BD2" w:rsidP="00A14BD2">
            <w:pPr>
              <w:pStyle w:val="07BAFUTabellelinks"/>
              <w:rPr>
                <w:b/>
              </w:rPr>
            </w:pPr>
            <w:r>
              <w:t>Inactivated waste is only disposed of with the industrial waste when the</w:t>
            </w:r>
            <w:r>
              <w:rPr>
                <w:b/>
              </w:rPr>
              <w:t xml:space="preserve"> “Biohazard” warning symbol is no longer visible</w:t>
            </w:r>
            <w:r>
              <w:t xml:space="preserve">. To this end, </w:t>
            </w:r>
            <w:proofErr w:type="gramStart"/>
            <w:r>
              <w:t>it is covered by a second layer of packaging</w:t>
            </w:r>
            <w:proofErr w:type="gramEnd"/>
            <w: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948" w:type="pct"/>
          </w:tcPr>
          <w:p w:rsidR="00A14BD2" w:rsidRPr="00A14BD2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216" w:type="pct"/>
          </w:tcPr>
          <w:p w:rsidR="00A14BD2" w:rsidRPr="00A14BD2" w:rsidRDefault="00A14BD2" w:rsidP="00A14BD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en-GB"/>
              </w:rPr>
            </w:pPr>
          </w:p>
        </w:tc>
      </w:tr>
    </w:tbl>
    <w:p w:rsidR="00423618" w:rsidRPr="00A14BD2" w:rsidRDefault="00423618">
      <w:pPr>
        <w:rPr>
          <w:rFonts w:ascii="Arial" w:hAnsi="Arial" w:cs="Arial"/>
          <w:noProof/>
          <w:sz w:val="20"/>
          <w:szCs w:val="20"/>
          <w:lang w:val="en-GB" w:eastAsia="de-CH"/>
        </w:rPr>
      </w:pPr>
      <w:r w:rsidRPr="00A14BD2">
        <w:rPr>
          <w:lang w:val="en-GB"/>
        </w:rPr>
        <w:br w:type="page"/>
      </w:r>
    </w:p>
    <w:p w:rsidR="00C76B89" w:rsidRPr="00CA49CB" w:rsidRDefault="00C76B89" w:rsidP="00C76B89">
      <w:pPr>
        <w:pStyle w:val="03BAFUUntertitel"/>
        <w:ind w:left="392" w:hanging="392"/>
        <w:rPr>
          <w:noProof/>
          <w:lang w:val="en-GB" w:eastAsia="de-CH"/>
        </w:rPr>
      </w:pPr>
      <w:r w:rsidRPr="00CA49CB">
        <w:rPr>
          <w:noProof/>
          <w:lang w:val="en-GB" w:eastAsia="de-CH"/>
        </w:rPr>
        <w:lastRenderedPageBreak/>
        <w:t>2.3</w:t>
      </w:r>
      <w:r w:rsidRPr="00CA49CB">
        <w:rPr>
          <w:noProof/>
          <w:lang w:val="en-GB" w:eastAsia="de-CH"/>
        </w:rPr>
        <w:tab/>
      </w:r>
      <w:r w:rsidR="00CA49CB" w:rsidRPr="00CA49CB">
        <w:rPr>
          <w:noProof/>
          <w:lang w:val="en-GB" w:eastAsia="de-CH"/>
        </w:rPr>
        <w:t>Disposal plan for liquid waste</w:t>
      </w:r>
    </w:p>
    <w:p w:rsidR="00C76B89" w:rsidRPr="00CA49CB" w:rsidRDefault="00C76B89" w:rsidP="00C76B89">
      <w:pPr>
        <w:pStyle w:val="03BAFUUntertitel"/>
        <w:ind w:left="392" w:hanging="392"/>
        <w:rPr>
          <w:noProof/>
          <w:lang w:val="en-GB" w:eastAsia="de-CH"/>
        </w:rPr>
      </w:pP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"/>
        <w:gridCol w:w="3771"/>
        <w:gridCol w:w="7395"/>
        <w:gridCol w:w="2239"/>
        <w:gridCol w:w="884"/>
      </w:tblGrid>
      <w:tr w:rsidR="000441AA" w:rsidRPr="00FD582F" w:rsidTr="00C76B89">
        <w:trPr>
          <w:trHeight w:val="20"/>
        </w:trPr>
        <w:tc>
          <w:tcPr>
            <w:tcW w:w="297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0441AA" w:rsidRPr="00CA49CB" w:rsidRDefault="000441AA" w:rsidP="000441AA">
            <w:pPr>
              <w:spacing w:before="20" w:after="20" w:line="240" w:lineRule="exact"/>
              <w:ind w:left="57" w:right="57"/>
              <w:jc w:val="center"/>
              <w:rPr>
                <w:rFonts w:ascii="Arial" w:hAnsi="Arial"/>
                <w:b/>
                <w:sz w:val="18"/>
                <w:lang w:val="en-GB"/>
              </w:rPr>
            </w:pPr>
          </w:p>
        </w:tc>
        <w:tc>
          <w:tcPr>
            <w:tcW w:w="1241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441AA" w:rsidRDefault="000441AA" w:rsidP="000441AA">
            <w:pPr>
              <w:pStyle w:val="07BAFUTabellenkopf"/>
            </w:pPr>
            <w:r>
              <w:t>Liquid waste (supernatant cultures)</w:t>
            </w:r>
          </w:p>
        </w:tc>
        <w:tc>
          <w:tcPr>
            <w:tcW w:w="2434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441AA" w:rsidRDefault="000441AA" w:rsidP="000441AA">
            <w:pPr>
              <w:pStyle w:val="07BAFUTabellenkopf"/>
            </w:pPr>
            <w:r>
              <w:t xml:space="preserve">How 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441AA" w:rsidRDefault="000441AA" w:rsidP="000441AA">
            <w:pPr>
              <w:pStyle w:val="07BAFUTabellenkopf"/>
            </w:pPr>
            <w:r>
              <w:t>When / frequency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441AA" w:rsidRDefault="000441AA" w:rsidP="000441AA">
            <w:pPr>
              <w:pStyle w:val="07BAFUTabellenkopf"/>
            </w:pPr>
            <w:r>
              <w:t>Who</w:t>
            </w:r>
          </w:p>
        </w:tc>
      </w:tr>
      <w:tr w:rsidR="000441AA" w:rsidRPr="000441AA" w:rsidTr="00C76B89">
        <w:trPr>
          <w:trHeight w:val="20"/>
        </w:trPr>
        <w:tc>
          <w:tcPr>
            <w:tcW w:w="297" w:type="pct"/>
            <w:vMerge w:val="restart"/>
            <w:tcBorders>
              <w:top w:val="nil"/>
            </w:tcBorders>
            <w:shd w:val="clear" w:color="auto" w:fill="D9D9D9" w:themeFill="background1" w:themeFillShade="D9"/>
            <w:textDirection w:val="btLr"/>
            <w:vAlign w:val="center"/>
          </w:tcPr>
          <w:p w:rsid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Description / collection</w:t>
            </w:r>
          </w:p>
        </w:tc>
        <w:tc>
          <w:tcPr>
            <w:tcW w:w="1241" w:type="pct"/>
            <w:tcBorders>
              <w:top w:val="nil"/>
            </w:tcBorders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>Principles of waste separation</w:t>
            </w:r>
          </w:p>
        </w:tc>
        <w:tc>
          <w:tcPr>
            <w:tcW w:w="2434" w:type="pct"/>
            <w:tcBorders>
              <w:top w:val="nil"/>
            </w:tcBorders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>Cell culture media and perfusion solutions are to be collected separately.</w:t>
            </w:r>
          </w:p>
        </w:tc>
        <w:tc>
          <w:tcPr>
            <w:tcW w:w="737" w:type="pct"/>
            <w:tcBorders>
              <w:top w:val="nil"/>
            </w:tcBorders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</w:p>
        </w:tc>
        <w:tc>
          <w:tcPr>
            <w:tcW w:w="291" w:type="pct"/>
            <w:tcBorders>
              <w:top w:val="nil"/>
            </w:tcBorders>
            <w:shd w:val="clear" w:color="auto" w:fill="F2F2F2" w:themeFill="background1" w:themeFillShade="F2"/>
          </w:tcPr>
          <w:p w:rsidR="000441AA" w:rsidRPr="000441AA" w:rsidRDefault="000441AA" w:rsidP="000441AA">
            <w:pPr>
              <w:pStyle w:val="Tabelle"/>
              <w:spacing w:line="240" w:lineRule="exact"/>
              <w:rPr>
                <w:lang w:val="en-GB"/>
              </w:rPr>
            </w:pPr>
          </w:p>
        </w:tc>
      </w:tr>
      <w:tr w:rsidR="000441AA" w:rsidRPr="000441AA" w:rsidTr="00C76B89">
        <w:trPr>
          <w:trHeight w:val="20"/>
        </w:trPr>
        <w:tc>
          <w:tcPr>
            <w:tcW w:w="297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0441AA" w:rsidRP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</w:p>
        </w:tc>
        <w:tc>
          <w:tcPr>
            <w:tcW w:w="1241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 xml:space="preserve">Types of containers </w:t>
            </w:r>
          </w:p>
        </w:tc>
        <w:tc>
          <w:tcPr>
            <w:tcW w:w="2434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 xml:space="preserve">Suction bottles (e.g. 2-litre) are to </w:t>
            </w:r>
            <w:proofErr w:type="gramStart"/>
            <w:r>
              <w:t>be used</w:t>
            </w:r>
            <w:proofErr w:type="gramEnd"/>
            <w:r>
              <w:t xml:space="preserve"> for culture media; perfusion solutions are to be collected in plastic canisters (e.g. 10-litre). Collect supernatant media after centrifuging (e.g. in 1-litre bottles).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</w:p>
        </w:tc>
        <w:tc>
          <w:tcPr>
            <w:tcW w:w="291" w:type="pct"/>
            <w:shd w:val="clear" w:color="auto" w:fill="F2F2F2" w:themeFill="background1" w:themeFillShade="F2"/>
          </w:tcPr>
          <w:p w:rsidR="000441AA" w:rsidRPr="000441AA" w:rsidRDefault="000441AA" w:rsidP="000441AA">
            <w:pPr>
              <w:pStyle w:val="Tabelle"/>
              <w:spacing w:line="240" w:lineRule="exact"/>
              <w:rPr>
                <w:lang w:val="en-GB"/>
              </w:rPr>
            </w:pPr>
          </w:p>
        </w:tc>
      </w:tr>
      <w:tr w:rsidR="000441AA" w:rsidRPr="000441AA" w:rsidTr="00C76B89">
        <w:trPr>
          <w:trHeight w:val="946"/>
        </w:trPr>
        <w:tc>
          <w:tcPr>
            <w:tcW w:w="297" w:type="pct"/>
            <w:textDirection w:val="btLr"/>
            <w:vAlign w:val="center"/>
          </w:tcPr>
          <w:p w:rsid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Labelling</w:t>
            </w:r>
          </w:p>
        </w:tc>
        <w:tc>
          <w:tcPr>
            <w:tcW w:w="1241" w:type="pct"/>
          </w:tcPr>
          <w:p w:rsidR="000441AA" w:rsidRDefault="000441AA" w:rsidP="00A2414A">
            <w:pPr>
              <w:pStyle w:val="07BAFUTabellelinks"/>
            </w:pPr>
            <w:r>
              <w:t xml:space="preserve">Labelling </w:t>
            </w:r>
          </w:p>
        </w:tc>
        <w:tc>
          <w:tcPr>
            <w:tcW w:w="2434" w:type="pct"/>
          </w:tcPr>
          <w:p w:rsidR="000441AA" w:rsidRDefault="000441AA" w:rsidP="00A2414A">
            <w:pPr>
              <w:pStyle w:val="07BAFUTabellelinks"/>
            </w:pPr>
            <w:r>
              <w:t xml:space="preserve">A temperature-sensitive indicator </w:t>
            </w:r>
            <w:proofErr w:type="gramStart"/>
            <w:r>
              <w:t>must be attached</w:t>
            </w:r>
            <w:proofErr w:type="gramEnd"/>
            <w:r>
              <w:t xml:space="preserve"> to bottles containing culture media before inactivation.</w:t>
            </w:r>
          </w:p>
        </w:tc>
        <w:tc>
          <w:tcPr>
            <w:tcW w:w="737" w:type="pct"/>
          </w:tcPr>
          <w:p w:rsidR="000441AA" w:rsidRDefault="000441AA" w:rsidP="00A2414A">
            <w:pPr>
              <w:pStyle w:val="07BAFUTabellelinks"/>
            </w:pPr>
          </w:p>
        </w:tc>
        <w:tc>
          <w:tcPr>
            <w:tcW w:w="291" w:type="pct"/>
          </w:tcPr>
          <w:p w:rsidR="000441AA" w:rsidRPr="000441AA" w:rsidRDefault="000441AA" w:rsidP="000441AA">
            <w:pPr>
              <w:pStyle w:val="Tabelle"/>
              <w:spacing w:line="240" w:lineRule="exact"/>
              <w:rPr>
                <w:lang w:val="en-GB"/>
              </w:rPr>
            </w:pPr>
          </w:p>
        </w:tc>
      </w:tr>
      <w:tr w:rsidR="000441AA" w:rsidRPr="000441AA" w:rsidTr="00C76B89">
        <w:trPr>
          <w:trHeight w:val="689"/>
        </w:trPr>
        <w:tc>
          <w:tcPr>
            <w:tcW w:w="297" w:type="pct"/>
            <w:shd w:val="clear" w:color="auto" w:fill="D9D9D9" w:themeFill="background1" w:themeFillShade="D9"/>
            <w:textDirection w:val="btLr"/>
            <w:vAlign w:val="center"/>
          </w:tcPr>
          <w:p w:rsid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Storage</w:t>
            </w:r>
          </w:p>
        </w:tc>
        <w:tc>
          <w:tcPr>
            <w:tcW w:w="1241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 xml:space="preserve">Temporary storage in the laboratory </w:t>
            </w:r>
          </w:p>
        </w:tc>
        <w:tc>
          <w:tcPr>
            <w:tcW w:w="2434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 xml:space="preserve">Cell culture media and perfusion solutions are to be stored temporarily in a safe place in the laboratory prior to final disposal. 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</w:p>
        </w:tc>
        <w:tc>
          <w:tcPr>
            <w:tcW w:w="291" w:type="pct"/>
            <w:shd w:val="clear" w:color="auto" w:fill="F2F2F2" w:themeFill="background1" w:themeFillShade="F2"/>
          </w:tcPr>
          <w:p w:rsidR="000441AA" w:rsidRPr="000441AA" w:rsidRDefault="000441AA" w:rsidP="000441AA">
            <w:pPr>
              <w:pStyle w:val="Tabelle"/>
              <w:spacing w:line="240" w:lineRule="exact"/>
              <w:rPr>
                <w:lang w:val="en-GB"/>
              </w:rPr>
            </w:pPr>
          </w:p>
        </w:tc>
      </w:tr>
      <w:tr w:rsidR="000441AA" w:rsidRPr="000441AA" w:rsidTr="00C76B89">
        <w:trPr>
          <w:trHeight w:val="1028"/>
        </w:trPr>
        <w:tc>
          <w:tcPr>
            <w:tcW w:w="297" w:type="pct"/>
            <w:textDirection w:val="btLr"/>
            <w:vAlign w:val="center"/>
          </w:tcPr>
          <w:p w:rsid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Inactivation</w:t>
            </w:r>
          </w:p>
        </w:tc>
        <w:tc>
          <w:tcPr>
            <w:tcW w:w="1241" w:type="pct"/>
          </w:tcPr>
          <w:p w:rsidR="000441AA" w:rsidRDefault="000441AA" w:rsidP="00A2414A">
            <w:pPr>
              <w:pStyle w:val="07BAFUTabellelinks"/>
            </w:pPr>
            <w:r>
              <w:t>On-site chemical inactivation (in the laboratory)</w:t>
            </w:r>
          </w:p>
        </w:tc>
        <w:tc>
          <w:tcPr>
            <w:tcW w:w="2434" w:type="pct"/>
          </w:tcPr>
          <w:p w:rsidR="000441AA" w:rsidRDefault="000441AA" w:rsidP="00A2414A">
            <w:pPr>
              <w:pStyle w:val="07BAFUTabellelinks"/>
            </w:pPr>
            <w:r>
              <w:t xml:space="preserve">Cell culture waste is to </w:t>
            </w:r>
            <w:proofErr w:type="gramStart"/>
            <w:r>
              <w:t>be inactivated</w:t>
            </w:r>
            <w:proofErr w:type="gramEnd"/>
            <w:r>
              <w:t xml:space="preserve"> on-site with a suitable disinfectant (already prepared in a suction bottle). </w:t>
            </w:r>
          </w:p>
        </w:tc>
        <w:tc>
          <w:tcPr>
            <w:tcW w:w="737" w:type="pct"/>
          </w:tcPr>
          <w:p w:rsidR="000441AA" w:rsidRDefault="000441AA" w:rsidP="00A2414A">
            <w:pPr>
              <w:pStyle w:val="07BAFUTabellelinks"/>
            </w:pPr>
          </w:p>
        </w:tc>
        <w:tc>
          <w:tcPr>
            <w:tcW w:w="291" w:type="pct"/>
          </w:tcPr>
          <w:p w:rsidR="000441AA" w:rsidRPr="000441AA" w:rsidRDefault="000441AA" w:rsidP="000441AA">
            <w:pPr>
              <w:pStyle w:val="Tabelle"/>
              <w:spacing w:line="240" w:lineRule="exact"/>
              <w:rPr>
                <w:lang w:val="en-GB"/>
              </w:rPr>
            </w:pPr>
          </w:p>
        </w:tc>
      </w:tr>
      <w:tr w:rsidR="000441AA" w:rsidRPr="000441AA" w:rsidTr="00C76B89">
        <w:trPr>
          <w:trHeight w:val="683"/>
        </w:trPr>
        <w:tc>
          <w:tcPr>
            <w:tcW w:w="297" w:type="pct"/>
            <w:shd w:val="clear" w:color="auto" w:fill="D9D9D9" w:themeFill="background1" w:themeFillShade="D9"/>
            <w:textDirection w:val="btLr"/>
            <w:vAlign w:val="center"/>
          </w:tcPr>
          <w:p w:rsid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</w:t>
            </w:r>
            <w:r>
              <w:rPr>
                <w:b/>
                <w:lang w:val="en-GB"/>
              </w:rPr>
              <w:softHyphen/>
              <w:t>port</w:t>
            </w:r>
          </w:p>
        </w:tc>
        <w:tc>
          <w:tcPr>
            <w:tcW w:w="1241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>Transport to the treatment site</w:t>
            </w:r>
          </w:p>
        </w:tc>
        <w:tc>
          <w:tcPr>
            <w:tcW w:w="2434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 xml:space="preserve">The waste must be taken to the autoclave by the most direct route and the material must be inactivated </w:t>
            </w:r>
            <w:proofErr w:type="gramStart"/>
            <w:r>
              <w:rPr>
                <w:b/>
              </w:rPr>
              <w:t>without delay</w:t>
            </w:r>
            <w:proofErr w:type="gramEnd"/>
            <w:r>
              <w:t xml:space="preserve"> and without further temporary storage.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</w:p>
        </w:tc>
        <w:tc>
          <w:tcPr>
            <w:tcW w:w="291" w:type="pct"/>
            <w:shd w:val="clear" w:color="auto" w:fill="F2F2F2" w:themeFill="background1" w:themeFillShade="F2"/>
          </w:tcPr>
          <w:p w:rsidR="000441AA" w:rsidRPr="000441AA" w:rsidRDefault="000441AA" w:rsidP="000441AA">
            <w:pPr>
              <w:pStyle w:val="Tabelle"/>
              <w:spacing w:line="240" w:lineRule="exact"/>
              <w:rPr>
                <w:lang w:val="en-GB"/>
              </w:rPr>
            </w:pPr>
          </w:p>
        </w:tc>
      </w:tr>
      <w:tr w:rsidR="000441AA" w:rsidRPr="000441AA" w:rsidTr="00C76B89">
        <w:trPr>
          <w:trHeight w:val="20"/>
        </w:trPr>
        <w:tc>
          <w:tcPr>
            <w:tcW w:w="297" w:type="pct"/>
            <w:vMerge w:val="restart"/>
            <w:textDirection w:val="btLr"/>
            <w:vAlign w:val="center"/>
          </w:tcPr>
          <w:p w:rsid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Inactivation</w:t>
            </w:r>
          </w:p>
        </w:tc>
        <w:tc>
          <w:tcPr>
            <w:tcW w:w="1241" w:type="pct"/>
          </w:tcPr>
          <w:p w:rsidR="000441AA" w:rsidRDefault="000441AA" w:rsidP="00A2414A">
            <w:pPr>
              <w:pStyle w:val="07BAFUTabellelinks"/>
            </w:pPr>
            <w:r>
              <w:t>Charging the autoclave</w:t>
            </w:r>
          </w:p>
        </w:tc>
        <w:tc>
          <w:tcPr>
            <w:tcW w:w="2434" w:type="pct"/>
          </w:tcPr>
          <w:p w:rsidR="000441AA" w:rsidRDefault="000441AA" w:rsidP="00A2414A">
            <w:pPr>
              <w:pStyle w:val="07BAFUTabellelinks"/>
            </w:pPr>
            <w:r>
              <w:t xml:space="preserve">The autoclave </w:t>
            </w:r>
            <w:proofErr w:type="gramStart"/>
            <w:r>
              <w:t>must be charged and operated by personnel with appropriate expertise (select special pro</w:t>
            </w:r>
            <w:r>
              <w:softHyphen/>
              <w:t>gramme for liquids)</w:t>
            </w:r>
            <w:proofErr w:type="gramEnd"/>
            <w:r>
              <w:t>.</w:t>
            </w:r>
          </w:p>
        </w:tc>
        <w:tc>
          <w:tcPr>
            <w:tcW w:w="737" w:type="pct"/>
          </w:tcPr>
          <w:p w:rsidR="000441AA" w:rsidRDefault="000441AA" w:rsidP="00A2414A">
            <w:pPr>
              <w:pStyle w:val="07BAFUTabellelinks"/>
            </w:pPr>
          </w:p>
        </w:tc>
        <w:tc>
          <w:tcPr>
            <w:tcW w:w="291" w:type="pct"/>
          </w:tcPr>
          <w:p w:rsidR="000441AA" w:rsidRPr="000441AA" w:rsidRDefault="000441AA" w:rsidP="000441AA">
            <w:pPr>
              <w:pStyle w:val="Tabelle"/>
              <w:spacing w:line="240" w:lineRule="exact"/>
              <w:rPr>
                <w:lang w:val="en-GB"/>
              </w:rPr>
            </w:pPr>
          </w:p>
        </w:tc>
      </w:tr>
      <w:tr w:rsidR="000441AA" w:rsidRPr="000441AA" w:rsidTr="00C76B89">
        <w:trPr>
          <w:trHeight w:val="20"/>
        </w:trPr>
        <w:tc>
          <w:tcPr>
            <w:tcW w:w="297" w:type="pct"/>
            <w:vMerge/>
            <w:textDirection w:val="btLr"/>
            <w:vAlign w:val="center"/>
          </w:tcPr>
          <w:p w:rsidR="000441AA" w:rsidRP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</w:p>
        </w:tc>
        <w:tc>
          <w:tcPr>
            <w:tcW w:w="1241" w:type="pct"/>
          </w:tcPr>
          <w:p w:rsidR="000441AA" w:rsidRDefault="000441AA" w:rsidP="00A2414A">
            <w:pPr>
              <w:pStyle w:val="07BAFUTabellelinks"/>
            </w:pPr>
            <w:r>
              <w:t>Monitoring inactivation</w:t>
            </w:r>
          </w:p>
        </w:tc>
        <w:tc>
          <w:tcPr>
            <w:tcW w:w="2434" w:type="pct"/>
          </w:tcPr>
          <w:p w:rsidR="000441AA" w:rsidRDefault="000441AA" w:rsidP="00A2414A">
            <w:pPr>
              <w:pStyle w:val="07BAFUTabellelinks"/>
            </w:pPr>
            <w:r>
              <w:t>Collect and archive autoclave logs.</w:t>
            </w:r>
          </w:p>
        </w:tc>
        <w:tc>
          <w:tcPr>
            <w:tcW w:w="737" w:type="pct"/>
          </w:tcPr>
          <w:p w:rsidR="000441AA" w:rsidRDefault="000441AA" w:rsidP="00A2414A">
            <w:pPr>
              <w:pStyle w:val="07BAFUTabellelinks"/>
            </w:pPr>
          </w:p>
        </w:tc>
        <w:tc>
          <w:tcPr>
            <w:tcW w:w="291" w:type="pct"/>
          </w:tcPr>
          <w:p w:rsidR="000441AA" w:rsidRPr="000441AA" w:rsidRDefault="000441AA" w:rsidP="000441AA">
            <w:pPr>
              <w:pStyle w:val="Tabelle"/>
              <w:spacing w:line="240" w:lineRule="exact"/>
              <w:rPr>
                <w:lang w:val="en-GB"/>
              </w:rPr>
            </w:pPr>
          </w:p>
        </w:tc>
      </w:tr>
      <w:tr w:rsidR="000441AA" w:rsidRPr="000441AA" w:rsidTr="00C76B89">
        <w:trPr>
          <w:trHeight w:val="20"/>
        </w:trPr>
        <w:tc>
          <w:tcPr>
            <w:tcW w:w="297" w:type="pct"/>
            <w:vMerge/>
            <w:textDirection w:val="btLr"/>
            <w:vAlign w:val="center"/>
          </w:tcPr>
          <w:p w:rsidR="000441AA" w:rsidRP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</w:p>
        </w:tc>
        <w:tc>
          <w:tcPr>
            <w:tcW w:w="1241" w:type="pct"/>
          </w:tcPr>
          <w:p w:rsidR="000441AA" w:rsidRDefault="000441AA" w:rsidP="00A2414A">
            <w:pPr>
              <w:pStyle w:val="07BAFUTabellelinks"/>
            </w:pPr>
            <w:r>
              <w:t>Servicing the autoclave</w:t>
            </w:r>
          </w:p>
        </w:tc>
        <w:tc>
          <w:tcPr>
            <w:tcW w:w="2434" w:type="pct"/>
          </w:tcPr>
          <w:p w:rsidR="000441AA" w:rsidRDefault="000441AA" w:rsidP="00A2414A">
            <w:pPr>
              <w:pStyle w:val="07BAFUTabellelinks"/>
            </w:pPr>
            <w:r>
              <w:t xml:space="preserve">The autoclave </w:t>
            </w:r>
            <w:proofErr w:type="gramStart"/>
            <w:r>
              <w:t>must be serviced</w:t>
            </w:r>
            <w:proofErr w:type="gramEnd"/>
            <w:r>
              <w:t xml:space="preserve"> in accordance with the service plan.</w:t>
            </w:r>
          </w:p>
        </w:tc>
        <w:tc>
          <w:tcPr>
            <w:tcW w:w="737" w:type="pct"/>
          </w:tcPr>
          <w:p w:rsidR="000441AA" w:rsidRDefault="000441AA" w:rsidP="00A2414A">
            <w:pPr>
              <w:pStyle w:val="07BAFUTabellelinks"/>
            </w:pPr>
            <w:r>
              <w:t>At least once a year</w:t>
            </w:r>
          </w:p>
        </w:tc>
        <w:tc>
          <w:tcPr>
            <w:tcW w:w="291" w:type="pct"/>
          </w:tcPr>
          <w:p w:rsidR="000441AA" w:rsidRPr="000441AA" w:rsidRDefault="000441AA" w:rsidP="000441AA">
            <w:pPr>
              <w:pStyle w:val="Tabelle"/>
              <w:spacing w:line="240" w:lineRule="exact"/>
              <w:rPr>
                <w:lang w:val="en-GB"/>
              </w:rPr>
            </w:pPr>
          </w:p>
        </w:tc>
      </w:tr>
      <w:tr w:rsidR="000441AA" w:rsidRPr="00FD582F" w:rsidTr="00C76B89">
        <w:trPr>
          <w:trHeight w:val="909"/>
        </w:trPr>
        <w:tc>
          <w:tcPr>
            <w:tcW w:w="297" w:type="pct"/>
            <w:shd w:val="clear" w:color="auto" w:fill="D9D9D9" w:themeFill="background1" w:themeFillShade="D9"/>
            <w:textDirection w:val="btLr"/>
            <w:vAlign w:val="center"/>
          </w:tcPr>
          <w:p w:rsidR="000441AA" w:rsidRDefault="000441AA" w:rsidP="000441AA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Disposal</w:t>
            </w:r>
          </w:p>
        </w:tc>
        <w:tc>
          <w:tcPr>
            <w:tcW w:w="1241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>Disposal of the inactivated waste</w:t>
            </w:r>
          </w:p>
        </w:tc>
        <w:tc>
          <w:tcPr>
            <w:tcW w:w="2434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 xml:space="preserve">Inactivated liquid waste must be disposed </w:t>
            </w:r>
            <w:proofErr w:type="spellStart"/>
            <w:r>
              <w:t>off</w:t>
            </w:r>
            <w:proofErr w:type="spellEnd"/>
            <w:r>
              <w:t xml:space="preserve"> by way of the </w:t>
            </w:r>
            <w:proofErr w:type="gramStart"/>
            <w:r>
              <w:t>waste water</w:t>
            </w:r>
            <w:proofErr w:type="gramEnd"/>
            <w:r>
              <w:t xml:space="preserve"> from the building in compliance with the water protection legislation.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:rsidR="000441AA" w:rsidRDefault="000441AA" w:rsidP="00A2414A">
            <w:pPr>
              <w:pStyle w:val="07BAFUTabellelinks"/>
            </w:pPr>
            <w:r>
              <w:t>Weekly</w:t>
            </w:r>
          </w:p>
        </w:tc>
        <w:tc>
          <w:tcPr>
            <w:tcW w:w="291" w:type="pct"/>
            <w:shd w:val="clear" w:color="auto" w:fill="F2F2F2" w:themeFill="background1" w:themeFillShade="F2"/>
          </w:tcPr>
          <w:p w:rsidR="000441AA" w:rsidRPr="00D87649" w:rsidRDefault="000441AA" w:rsidP="000441AA">
            <w:pPr>
              <w:pStyle w:val="Tabelle"/>
              <w:spacing w:line="240" w:lineRule="exact"/>
              <w:rPr>
                <w:lang w:val="de-CH"/>
              </w:rPr>
            </w:pPr>
          </w:p>
        </w:tc>
      </w:tr>
    </w:tbl>
    <w:p w:rsidR="00C76B89" w:rsidRPr="00852AF0" w:rsidRDefault="00C76B89" w:rsidP="00C76B89">
      <w:pPr>
        <w:pStyle w:val="03BAFUUntertitel"/>
        <w:ind w:left="392" w:hanging="392"/>
        <w:rPr>
          <w:rStyle w:val="05BAFUGrundschriftkursiv"/>
        </w:rPr>
      </w:pPr>
      <w:r>
        <w:rPr>
          <w:rStyle w:val="05BAFUGrundschriftkursiv"/>
          <w:b w:val="0"/>
          <w:i w:val="0"/>
        </w:rPr>
        <w:br/>
      </w:r>
    </w:p>
    <w:p w:rsidR="00423618" w:rsidRPr="0088219E" w:rsidRDefault="00423618" w:rsidP="0088219E">
      <w:pPr>
        <w:rPr>
          <w:rFonts w:ascii="Arial" w:hAnsi="Arial" w:cs="Arial"/>
          <w:noProof/>
          <w:sz w:val="20"/>
          <w:szCs w:val="20"/>
          <w:lang w:eastAsia="de-CH"/>
        </w:rPr>
        <w:sectPr w:rsidR="00423618" w:rsidRPr="0088219E" w:rsidSect="001C0228">
          <w:headerReference w:type="default" r:id="rId9"/>
          <w:pgSz w:w="16838" w:h="11906" w:orient="landscape" w:code="9"/>
          <w:pgMar w:top="426" w:right="852" w:bottom="1021" w:left="794" w:header="567" w:footer="0" w:gutter="0"/>
          <w:cols w:space="708"/>
          <w:titlePg/>
          <w:docGrid w:linePitch="360"/>
        </w:sectPr>
      </w:pPr>
    </w:p>
    <w:p w:rsidR="0004780C" w:rsidRDefault="0004780C" w:rsidP="0088219E">
      <w:pPr>
        <w:pStyle w:val="02BAFUTitelnummeriert"/>
      </w:pPr>
      <w:proofErr w:type="spellStart"/>
      <w:r w:rsidRPr="0004780C">
        <w:t>Disposal</w:t>
      </w:r>
      <w:proofErr w:type="spellEnd"/>
      <w:r w:rsidRPr="0004780C">
        <w:t xml:space="preserve"> </w:t>
      </w:r>
      <w:proofErr w:type="spellStart"/>
      <w:r w:rsidRPr="0004780C">
        <w:t>of</w:t>
      </w:r>
      <w:proofErr w:type="spellEnd"/>
      <w:r w:rsidRPr="0004780C">
        <w:t xml:space="preserve"> </w:t>
      </w:r>
      <w:proofErr w:type="spellStart"/>
      <w:r w:rsidRPr="0004780C">
        <w:t>revolting</w:t>
      </w:r>
      <w:proofErr w:type="spellEnd"/>
      <w:r w:rsidRPr="0004780C">
        <w:t xml:space="preserve">, </w:t>
      </w:r>
      <w:proofErr w:type="spellStart"/>
      <w:r w:rsidRPr="0004780C">
        <w:t>nauseating</w:t>
      </w:r>
      <w:proofErr w:type="spellEnd"/>
      <w:r w:rsidRPr="0004780C">
        <w:t xml:space="preserve"> </w:t>
      </w:r>
      <w:proofErr w:type="spellStart"/>
      <w:r w:rsidRPr="0004780C">
        <w:t>or</w:t>
      </w:r>
      <w:proofErr w:type="spellEnd"/>
      <w:r w:rsidRPr="0004780C">
        <w:t xml:space="preserve"> strong-</w:t>
      </w:r>
      <w:proofErr w:type="spellStart"/>
      <w:r w:rsidRPr="0004780C">
        <w:t>smelling</w:t>
      </w:r>
      <w:proofErr w:type="spellEnd"/>
      <w:r w:rsidRPr="0004780C">
        <w:t xml:space="preserve"> </w:t>
      </w:r>
      <w:proofErr w:type="spellStart"/>
      <w:r w:rsidRPr="0004780C">
        <w:t>wastes</w:t>
      </w:r>
      <w:proofErr w:type="spellEnd"/>
      <w:r w:rsidRPr="0004780C">
        <w:rPr>
          <w:vertAlign w:val="superscript"/>
          <w:lang w:val="en-GB"/>
        </w:rPr>
        <w:footnoteReference w:id="1"/>
      </w:r>
    </w:p>
    <w:p w:rsidR="0004780C" w:rsidRDefault="0004780C" w:rsidP="0004780C">
      <w:pPr>
        <w:pStyle w:val="05BAFUGrundschrift"/>
        <w:rPr>
          <w:lang w:val="en-GB"/>
        </w:rPr>
      </w:pPr>
      <w:r>
        <w:rPr>
          <w:lang w:val="en-GB"/>
        </w:rPr>
        <w:t xml:space="preserve">Very strong-smelling, nauseating or revolting wastes (waste containing blood etc.) are disposed of as special waste in accordance with </w:t>
      </w:r>
      <w:proofErr w:type="spellStart"/>
      <w:r>
        <w:rPr>
          <w:lang w:val="en-GB"/>
        </w:rPr>
        <w:t>VeVA</w:t>
      </w:r>
      <w:proofErr w:type="spellEnd"/>
      <w:r>
        <w:rPr>
          <w:lang w:val="en-GB"/>
        </w:rPr>
        <w:t>.</w:t>
      </w:r>
      <w:r>
        <w:rPr>
          <w:rStyle w:val="Funotenzeichen"/>
          <w:lang w:val="en-GB"/>
        </w:rPr>
        <w:footnoteReference w:id="2"/>
      </w:r>
      <w:r>
        <w:rPr>
          <w:lang w:val="en-GB"/>
        </w:rPr>
        <w:t xml:space="preserve"> Infectious waste is inactivated beforehand.</w:t>
      </w:r>
    </w:p>
    <w:p w:rsidR="0004780C" w:rsidRPr="0004780C" w:rsidRDefault="0004780C" w:rsidP="0004780C">
      <w:pPr>
        <w:pStyle w:val="06BAFULegendeTitel"/>
        <w:rPr>
          <w:lang w:val="en-GB"/>
        </w:rPr>
      </w:pPr>
      <w:r w:rsidRPr="0004780C">
        <w:rPr>
          <w:lang w:val="en-GB"/>
        </w:rPr>
        <w:t xml:space="preserve">Coding according to </w:t>
      </w:r>
      <w:proofErr w:type="spellStart"/>
      <w:r w:rsidRPr="0004780C">
        <w:rPr>
          <w:lang w:val="en-GB"/>
        </w:rPr>
        <w:t>VeVA</w:t>
      </w:r>
      <w:proofErr w:type="spellEnd"/>
      <w:r w:rsidRPr="0004780C">
        <w:rPr>
          <w:vertAlign w:val="superscript"/>
          <w:lang w:val="en-GB"/>
        </w:rPr>
        <w:footnoteReference w:id="3"/>
      </w:r>
      <w:r w:rsidRPr="0004780C">
        <w:rPr>
          <w:lang w:val="en-GB"/>
        </w:rPr>
        <w:t xml:space="preserve"> as special waste:</w:t>
      </w:r>
    </w:p>
    <w:tbl>
      <w:tblPr>
        <w:tblW w:w="977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0"/>
        <w:gridCol w:w="8246"/>
      </w:tblGrid>
      <w:tr w:rsidR="0088219E" w:rsidRPr="0088219E" w:rsidTr="003F215E">
        <w:tc>
          <w:tcPr>
            <w:tcW w:w="1530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04780C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04780C">
              <w:rPr>
                <w:b/>
                <w:sz w:val="16"/>
                <w:szCs w:val="16"/>
                <w:lang w:val="en-GB"/>
              </w:rPr>
              <w:t>LVA Code*</w:t>
            </w:r>
          </w:p>
        </w:tc>
        <w:tc>
          <w:tcPr>
            <w:tcW w:w="8246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04780C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04780C">
              <w:rPr>
                <w:b/>
                <w:sz w:val="16"/>
                <w:szCs w:val="16"/>
                <w:lang w:val="en-GB"/>
              </w:rPr>
              <w:t>Waste description</w:t>
            </w:r>
          </w:p>
        </w:tc>
      </w:tr>
      <w:tr w:rsidR="0088219E" w:rsidRPr="0004780C" w:rsidTr="003F215E"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18 01 02</w:t>
            </w:r>
          </w:p>
        </w:tc>
        <w:tc>
          <w:tcPr>
            <w:tcW w:w="8246" w:type="dxa"/>
            <w:shd w:val="clear" w:color="auto" w:fill="F2F2F2" w:themeFill="background1" w:themeFillShade="F2"/>
          </w:tcPr>
          <w:p w:rsidR="0088219E" w:rsidRPr="0004780C" w:rsidRDefault="0004780C" w:rsidP="006E0165">
            <w:pPr>
              <w:pStyle w:val="Tabelle"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  <w:lang w:val="en-GB"/>
              </w:rPr>
            </w:pPr>
            <w:r w:rsidRPr="0004780C">
              <w:rPr>
                <w:sz w:val="16"/>
                <w:szCs w:val="16"/>
                <w:lang w:val="en-GB"/>
              </w:rPr>
              <w:t>Waste involving risk of contamination (e.g. tissue waste, waste containing blood, secretions and excreta, blood bags and banked blood)</w:t>
            </w:r>
          </w:p>
        </w:tc>
      </w:tr>
    </w:tbl>
    <w:p w:rsidR="00103E74" w:rsidRPr="00103E74" w:rsidRDefault="00103E74" w:rsidP="00103E74">
      <w:pPr>
        <w:pStyle w:val="05BAFUGrundschrift"/>
        <w:rPr>
          <w:sz w:val="16"/>
          <w:szCs w:val="16"/>
        </w:rPr>
      </w:pPr>
      <w:r w:rsidRPr="00103E74">
        <w:rPr>
          <w:sz w:val="16"/>
          <w:szCs w:val="16"/>
        </w:rPr>
        <w:t>* LVA: Lists for the Movement of Waste (</w:t>
      </w:r>
      <w:r w:rsidRPr="00103E74">
        <w:rPr>
          <w:sz w:val="16"/>
          <w:szCs w:val="16"/>
          <w:lang w:val="de-DE"/>
        </w:rPr>
        <w:t>Abfall-Code der Verordnung des UVEK vom 18. Oktober 2005 über Listen zum Verkehr mit Abfällen; SR 814.610.1</w:t>
      </w:r>
      <w:r w:rsidRPr="00103E74">
        <w:rPr>
          <w:sz w:val="16"/>
          <w:szCs w:val="16"/>
        </w:rPr>
        <w:t>)</w:t>
      </w:r>
      <w:r w:rsidRPr="00103E74">
        <w:rPr>
          <w:i/>
          <w:sz w:val="16"/>
          <w:szCs w:val="16"/>
        </w:rPr>
        <w:t xml:space="preserve"> </w:t>
      </w:r>
    </w:p>
    <w:p w:rsidR="00103E74" w:rsidRPr="00103E74" w:rsidRDefault="00103E74" w:rsidP="00103E74">
      <w:pPr>
        <w:pStyle w:val="06BAFULegendeTitel"/>
        <w:rPr>
          <w:lang w:val="en-GB"/>
        </w:rPr>
      </w:pPr>
      <w:r w:rsidRPr="00103E74">
        <w:rPr>
          <w:lang w:val="en-GB"/>
        </w:rPr>
        <w:t>ADR/SDR classification as dangerous goods:</w:t>
      </w:r>
    </w:p>
    <w:tbl>
      <w:tblPr>
        <w:tblW w:w="977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1"/>
        <w:gridCol w:w="1417"/>
        <w:gridCol w:w="1553"/>
        <w:gridCol w:w="851"/>
        <w:gridCol w:w="4424"/>
      </w:tblGrid>
      <w:tr w:rsidR="0088219E" w:rsidRPr="00103E74" w:rsidTr="003F215E">
        <w:tc>
          <w:tcPr>
            <w:tcW w:w="1531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103E74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>
              <w:rPr>
                <w:b/>
                <w:sz w:val="16"/>
                <w:szCs w:val="16"/>
                <w:lang w:val="de-CH"/>
              </w:rPr>
              <w:t>Class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103E74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103E74">
              <w:rPr>
                <w:b/>
                <w:sz w:val="16"/>
                <w:szCs w:val="16"/>
                <w:lang w:val="en-GB"/>
              </w:rPr>
              <w:t>Category</w:t>
            </w:r>
          </w:p>
        </w:tc>
        <w:tc>
          <w:tcPr>
            <w:tcW w:w="1553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103E74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103E74">
              <w:rPr>
                <w:b/>
                <w:sz w:val="16"/>
                <w:szCs w:val="16"/>
                <w:lang w:val="en-GB"/>
              </w:rPr>
              <w:t>UN number</w:t>
            </w:r>
          </w:p>
        </w:tc>
        <w:tc>
          <w:tcPr>
            <w:tcW w:w="851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103E74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103E74">
              <w:rPr>
                <w:rFonts w:cs="Arial"/>
                <w:b/>
                <w:sz w:val="16"/>
                <w:szCs w:val="16"/>
                <w:lang w:val="en-GB"/>
              </w:rPr>
              <w:t>PG*</w:t>
            </w:r>
          </w:p>
        </w:tc>
        <w:tc>
          <w:tcPr>
            <w:tcW w:w="4424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103E74" w:rsidRDefault="00103E74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en-GB"/>
              </w:rPr>
            </w:pPr>
            <w:r w:rsidRPr="00103E74">
              <w:rPr>
                <w:b/>
                <w:sz w:val="16"/>
                <w:szCs w:val="16"/>
                <w:lang w:val="en-GB"/>
              </w:rPr>
              <w:t>Exemption limit acc. to ADR - GGBV</w:t>
            </w:r>
          </w:p>
        </w:tc>
      </w:tr>
      <w:tr w:rsidR="0088219E" w:rsidRPr="0088219E" w:rsidTr="003F215E">
        <w:tc>
          <w:tcPr>
            <w:tcW w:w="1531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6.2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B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3291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II</w:t>
            </w:r>
          </w:p>
        </w:tc>
        <w:tc>
          <w:tcPr>
            <w:tcW w:w="4424" w:type="dxa"/>
            <w:shd w:val="clear" w:color="auto" w:fill="F2F2F2" w:themeFill="background1" w:themeFillShade="F2"/>
          </w:tcPr>
          <w:p w:rsidR="0088219E" w:rsidRPr="0088219E" w:rsidRDefault="00103E74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103E74">
              <w:rPr>
                <w:sz w:val="16"/>
                <w:szCs w:val="16"/>
                <w:lang w:val="en-GB"/>
              </w:rPr>
              <w:t>333 kg or litres</w:t>
            </w:r>
          </w:p>
        </w:tc>
      </w:tr>
    </w:tbl>
    <w:p w:rsidR="00A66A3D" w:rsidRDefault="0088219E" w:rsidP="005310EE">
      <w:pPr>
        <w:pStyle w:val="02BAFUTitelnummeriert"/>
        <w:spacing w:before="284"/>
      </w:pPr>
      <w:r>
        <w:t xml:space="preserve"> </w:t>
      </w:r>
      <w:r w:rsidR="00B11396" w:rsidRPr="00B11396">
        <w:rPr>
          <w:lang w:val="en-GB"/>
        </w:rPr>
        <w:t>Animal waste</w:t>
      </w:r>
      <w:r w:rsidR="00B11396" w:rsidRPr="00B11396">
        <w:rPr>
          <w:vertAlign w:val="superscript"/>
          <w:lang w:val="en-GB"/>
        </w:rPr>
        <w:footnoteReference w:id="4"/>
      </w:r>
    </w:p>
    <w:p w:rsidR="00443997" w:rsidRDefault="00443997" w:rsidP="00443997">
      <w:pPr>
        <w:pStyle w:val="05BAFUGrundschrift"/>
        <w:rPr>
          <w:lang w:val="en-GB"/>
        </w:rPr>
      </w:pPr>
      <w:r>
        <w:rPr>
          <w:lang w:val="en-GB"/>
        </w:rPr>
        <w:t>Waste from small animals arising from Class 2 activities according to the Containment Ordinance (</w:t>
      </w:r>
      <w:proofErr w:type="spellStart"/>
      <w:r>
        <w:rPr>
          <w:lang w:val="en-GB"/>
        </w:rPr>
        <w:t>Einschliessungsverordnung</w:t>
      </w:r>
      <w:proofErr w:type="spellEnd"/>
      <w:r>
        <w:rPr>
          <w:lang w:val="en-GB"/>
        </w:rPr>
        <w:t xml:space="preserve"> / ESV) and containing genetically modified or pathogenic organisms is, as a basic rule, inactivated on-site and then disposed of in accordance with the legislation on environmental protection or animal epidemics (depending on the nature of the waste, according to VTNP or according to </w:t>
      </w:r>
      <w:proofErr w:type="spellStart"/>
      <w:r>
        <w:rPr>
          <w:lang w:val="en-GB"/>
        </w:rPr>
        <w:t>VeVA</w:t>
      </w:r>
      <w:proofErr w:type="spellEnd"/>
      <w:r>
        <w:rPr>
          <w:lang w:val="en-GB"/>
        </w:rPr>
        <w:t>.</w:t>
      </w:r>
    </w:p>
    <w:p w:rsidR="00443997" w:rsidRDefault="00443997" w:rsidP="00443997">
      <w:pPr>
        <w:pStyle w:val="05BAFUGrundschrift"/>
        <w:rPr>
          <w:lang w:val="en-GB"/>
        </w:rPr>
      </w:pPr>
      <w:r>
        <w:rPr>
          <w:lang w:val="en-GB"/>
        </w:rPr>
        <w:t>Temporary storage until disposal must take place under cool conditions (at least +4°C, ideally at -20°C) in a place which is only accessible to specialist staff.</w:t>
      </w:r>
    </w:p>
    <w:p w:rsidR="00443997" w:rsidRDefault="00443997" w:rsidP="00443997">
      <w:pPr>
        <w:pStyle w:val="05BAFUGrundschrift"/>
        <w:rPr>
          <w:lang w:val="en-GB"/>
        </w:rPr>
      </w:pPr>
      <w:r>
        <w:rPr>
          <w:lang w:val="en-GB"/>
        </w:rPr>
        <w:t>For disposal and transport according to the animal epidemic legislation, the dead animals or parts thereof must be marked clearly, accompanied by a document containing information on the origin and nature of the material and its destination and incinerated in an authorized disposal facility (see Annex I to the Ordinance on the disposal of animal by-products (VTNP)).</w:t>
      </w:r>
    </w:p>
    <w:p w:rsidR="00443997" w:rsidRDefault="00443997" w:rsidP="00443997">
      <w:pPr>
        <w:pStyle w:val="05BAFUGrundschrift"/>
        <w:rPr>
          <w:lang w:val="en-GB"/>
        </w:rPr>
      </w:pPr>
      <w:r>
        <w:rPr>
          <w:lang w:val="en-GB"/>
        </w:rPr>
        <w:t xml:space="preserve">For disposal and transport as special waste, an accompanying document (for small quantities a collective list) is made out according to VeVA and LVA as of </w:t>
      </w:r>
      <w:smartTag w:uri="urn:schemas-microsoft-com:office:smarttags" w:element="date">
        <w:smartTagPr>
          <w:attr w:name="Year" w:val="2006"/>
          <w:attr w:name="Day" w:val="1"/>
          <w:attr w:name="Month" w:val="1"/>
        </w:smartTagPr>
        <w:r>
          <w:rPr>
            <w:lang w:val="en-GB"/>
          </w:rPr>
          <w:t>1 January 2006</w:t>
        </w:r>
      </w:smartTag>
      <w:r>
        <w:rPr>
          <w:lang w:val="en-GB"/>
        </w:rPr>
        <w:t>) and entries required under ADR are added to it or an additional ADR transport document is completed.</w:t>
      </w:r>
    </w:p>
    <w:p w:rsidR="00993C56" w:rsidRPr="00443997" w:rsidRDefault="00993C56">
      <w:pPr>
        <w:rPr>
          <w:rFonts w:ascii="Arial" w:hAnsi="Arial" w:cs="Arial"/>
          <w:noProof/>
          <w:sz w:val="20"/>
          <w:szCs w:val="20"/>
          <w:lang w:val="en-GB" w:eastAsia="de-CH"/>
        </w:rPr>
      </w:pPr>
      <w:r w:rsidRPr="00443997">
        <w:rPr>
          <w:lang w:val="en-GB"/>
        </w:rPr>
        <w:br w:type="page"/>
      </w:r>
    </w:p>
    <w:p w:rsidR="003A43C8" w:rsidRPr="003A43C8" w:rsidRDefault="003A43C8" w:rsidP="003A43C8">
      <w:pPr>
        <w:pStyle w:val="06BAFULegendeTitel"/>
        <w:rPr>
          <w:lang w:val="en-GB"/>
        </w:rPr>
      </w:pPr>
      <w:r w:rsidRPr="003A43C8">
        <w:rPr>
          <w:lang w:val="en-GB"/>
        </w:rPr>
        <w:t xml:space="preserve">Coding according to </w:t>
      </w:r>
      <w:proofErr w:type="spellStart"/>
      <w:r w:rsidRPr="003A43C8">
        <w:rPr>
          <w:lang w:val="en-GB"/>
        </w:rPr>
        <w:t>VeVA</w:t>
      </w:r>
      <w:proofErr w:type="spellEnd"/>
      <w:r w:rsidRPr="003A43C8">
        <w:rPr>
          <w:lang w:val="en-GB"/>
        </w:rPr>
        <w:t xml:space="preserve"> as special waste</w:t>
      </w:r>
    </w:p>
    <w:tbl>
      <w:tblPr>
        <w:tblW w:w="977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0"/>
        <w:gridCol w:w="8246"/>
      </w:tblGrid>
      <w:tr w:rsidR="00BD470D" w:rsidRPr="0088219E" w:rsidTr="006E0165">
        <w:tc>
          <w:tcPr>
            <w:tcW w:w="1530" w:type="dxa"/>
            <w:tcBorders>
              <w:top w:val="single" w:sz="4" w:space="0" w:color="000000" w:themeColor="text1"/>
            </w:tcBorders>
            <w:shd w:val="clear" w:color="auto" w:fill="auto"/>
          </w:tcPr>
          <w:p w:rsidR="00BD470D" w:rsidRPr="0088219E" w:rsidRDefault="003A43C8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3A43C8">
              <w:rPr>
                <w:b/>
                <w:sz w:val="16"/>
                <w:szCs w:val="16"/>
                <w:lang w:val="en-GB"/>
              </w:rPr>
              <w:t>LVA Code*</w:t>
            </w:r>
          </w:p>
        </w:tc>
        <w:tc>
          <w:tcPr>
            <w:tcW w:w="8246" w:type="dxa"/>
            <w:tcBorders>
              <w:top w:val="single" w:sz="4" w:space="0" w:color="000000" w:themeColor="text1"/>
            </w:tcBorders>
            <w:shd w:val="clear" w:color="auto" w:fill="auto"/>
          </w:tcPr>
          <w:p w:rsidR="00BD470D" w:rsidRPr="0088219E" w:rsidRDefault="003A43C8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3A43C8">
              <w:rPr>
                <w:b/>
                <w:sz w:val="16"/>
                <w:szCs w:val="16"/>
                <w:lang w:val="en-GB"/>
              </w:rPr>
              <w:t>Waste description</w:t>
            </w:r>
          </w:p>
        </w:tc>
      </w:tr>
      <w:tr w:rsidR="00BD470D" w:rsidRPr="003A43C8" w:rsidTr="006E0165"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BD470D" w:rsidRPr="0088219E" w:rsidRDefault="00BD470D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BD470D">
              <w:rPr>
                <w:sz w:val="16"/>
                <w:szCs w:val="16"/>
                <w:lang w:val="de-CH"/>
              </w:rPr>
              <w:t>18 02 98</w:t>
            </w:r>
          </w:p>
        </w:tc>
        <w:tc>
          <w:tcPr>
            <w:tcW w:w="8246" w:type="dxa"/>
            <w:shd w:val="clear" w:color="auto" w:fill="F2F2F2" w:themeFill="background1" w:themeFillShade="F2"/>
          </w:tcPr>
          <w:p w:rsidR="00BD470D" w:rsidRPr="003A43C8" w:rsidRDefault="003A43C8" w:rsidP="00BD470D">
            <w:pPr>
              <w:pStyle w:val="Tabelle"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  <w:lang w:val="en-GB"/>
              </w:rPr>
            </w:pPr>
            <w:r w:rsidRPr="003A43C8">
              <w:rPr>
                <w:sz w:val="16"/>
                <w:szCs w:val="16"/>
                <w:lang w:val="en-GB"/>
              </w:rPr>
              <w:t>Animal waste involving risk of contamination (e.g. tissue waste, waste containing blood, secretions and excreta, blood bags and banked blood, contaminated carcasses of [test] animals)</w:t>
            </w:r>
          </w:p>
        </w:tc>
      </w:tr>
    </w:tbl>
    <w:p w:rsidR="003A43C8" w:rsidRPr="003A43C8" w:rsidRDefault="003A43C8" w:rsidP="003A43C8">
      <w:pPr>
        <w:pStyle w:val="05BAFUGrundschrift"/>
        <w:rPr>
          <w:sz w:val="16"/>
          <w:szCs w:val="16"/>
        </w:rPr>
      </w:pPr>
      <w:r w:rsidRPr="003A43C8">
        <w:rPr>
          <w:sz w:val="16"/>
          <w:szCs w:val="16"/>
        </w:rPr>
        <w:t>* LVA: Lists for the Movement of Waste (</w:t>
      </w:r>
      <w:r w:rsidRPr="003A43C8">
        <w:rPr>
          <w:sz w:val="16"/>
          <w:szCs w:val="16"/>
          <w:lang w:val="de-DE"/>
        </w:rPr>
        <w:t>Abfall-Code der Verordnung des UVEK vom 18. Oktober 2005 über Listen zum Verkehr mit Abfällen; SR 814.610.1</w:t>
      </w:r>
      <w:r w:rsidRPr="003A43C8">
        <w:rPr>
          <w:sz w:val="16"/>
          <w:szCs w:val="16"/>
        </w:rPr>
        <w:t>)</w:t>
      </w:r>
      <w:r w:rsidRPr="003A43C8">
        <w:rPr>
          <w:i/>
          <w:sz w:val="16"/>
          <w:szCs w:val="16"/>
        </w:rPr>
        <w:t xml:space="preserve"> </w:t>
      </w:r>
    </w:p>
    <w:p w:rsidR="003A43C8" w:rsidRPr="003A43C8" w:rsidRDefault="003A43C8" w:rsidP="003A43C8">
      <w:pPr>
        <w:pStyle w:val="06BAFULegendeTitel"/>
        <w:rPr>
          <w:lang w:val="en-GB"/>
        </w:rPr>
      </w:pPr>
      <w:r w:rsidRPr="003A43C8">
        <w:rPr>
          <w:lang w:val="en-GB"/>
        </w:rPr>
        <w:t xml:space="preserve">ADR/SDR classification as dangerous goods </w:t>
      </w:r>
    </w:p>
    <w:tbl>
      <w:tblPr>
        <w:tblW w:w="0" w:type="auto"/>
        <w:tblInd w:w="-5" w:type="dxa"/>
        <w:tblLook w:val="01E0" w:firstRow="1" w:lastRow="1" w:firstColumn="1" w:lastColumn="1" w:noHBand="0" w:noVBand="0"/>
      </w:tblPr>
      <w:tblGrid>
        <w:gridCol w:w="1592"/>
        <w:gridCol w:w="1579"/>
        <w:gridCol w:w="1584"/>
        <w:gridCol w:w="727"/>
        <w:gridCol w:w="3010"/>
      </w:tblGrid>
      <w:tr w:rsidR="00993C56" w:rsidRPr="00993C56" w:rsidTr="00993C56">
        <w:tc>
          <w:tcPr>
            <w:tcW w:w="1592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3A43C8" w:rsidP="003A43C8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>
              <w:rPr>
                <w:b/>
                <w:sz w:val="16"/>
                <w:szCs w:val="16"/>
                <w:lang w:val="de-CH"/>
              </w:rPr>
              <w:t>C</w:t>
            </w:r>
            <w:r w:rsidR="00993C56" w:rsidRPr="00993C56">
              <w:rPr>
                <w:b/>
                <w:sz w:val="16"/>
                <w:szCs w:val="16"/>
                <w:lang w:val="de-CH"/>
              </w:rPr>
              <w:t>lass</w:t>
            </w:r>
          </w:p>
        </w:tc>
        <w:tc>
          <w:tcPr>
            <w:tcW w:w="1579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3A43C8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3A43C8">
              <w:rPr>
                <w:b/>
                <w:sz w:val="16"/>
                <w:szCs w:val="16"/>
                <w:lang w:val="en-GB"/>
              </w:rPr>
              <w:t>Category</w:t>
            </w: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3A43C8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3A43C8">
              <w:rPr>
                <w:b/>
                <w:sz w:val="16"/>
                <w:szCs w:val="16"/>
                <w:lang w:val="en-GB"/>
              </w:rPr>
              <w:t>UN number</w:t>
            </w:r>
          </w:p>
        </w:tc>
        <w:tc>
          <w:tcPr>
            <w:tcW w:w="727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3A43C8" w:rsidP="00993C56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3A43C8">
              <w:rPr>
                <w:rFonts w:cs="Arial"/>
                <w:b/>
                <w:sz w:val="16"/>
                <w:szCs w:val="16"/>
                <w:lang w:val="en-GB"/>
              </w:rPr>
              <w:t>PG*</w:t>
            </w:r>
          </w:p>
        </w:tc>
        <w:tc>
          <w:tcPr>
            <w:tcW w:w="3010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3A43C8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3A43C8">
              <w:rPr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993C56" w:rsidRPr="003A43C8" w:rsidTr="00993C56">
        <w:tc>
          <w:tcPr>
            <w:tcW w:w="1592" w:type="dxa"/>
            <w:shd w:val="clear" w:color="auto" w:fill="F2F2F2" w:themeFill="background1" w:themeFillShade="F2"/>
          </w:tcPr>
          <w:p w:rsidR="00993C56" w:rsidRPr="00993C56" w:rsidRDefault="00993C56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993C56">
              <w:rPr>
                <w:sz w:val="16"/>
                <w:szCs w:val="16"/>
                <w:lang w:val="de-CH"/>
              </w:rPr>
              <w:t>6.2</w:t>
            </w:r>
          </w:p>
        </w:tc>
        <w:tc>
          <w:tcPr>
            <w:tcW w:w="1579" w:type="dxa"/>
            <w:shd w:val="clear" w:color="auto" w:fill="F2F2F2" w:themeFill="background1" w:themeFillShade="F2"/>
          </w:tcPr>
          <w:p w:rsidR="00993C56" w:rsidRPr="00993C56" w:rsidRDefault="00993C56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993C56">
              <w:rPr>
                <w:sz w:val="16"/>
                <w:szCs w:val="16"/>
                <w:lang w:val="de-CH"/>
              </w:rPr>
              <w:t>B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:rsidR="00993C56" w:rsidRPr="00993C56" w:rsidRDefault="00993C56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993C56">
              <w:rPr>
                <w:sz w:val="16"/>
                <w:szCs w:val="16"/>
                <w:lang w:val="de-CH"/>
              </w:rPr>
              <w:t>3291</w:t>
            </w:r>
          </w:p>
        </w:tc>
        <w:tc>
          <w:tcPr>
            <w:tcW w:w="727" w:type="dxa"/>
            <w:shd w:val="clear" w:color="auto" w:fill="F2F2F2" w:themeFill="background1" w:themeFillShade="F2"/>
          </w:tcPr>
          <w:p w:rsidR="00993C56" w:rsidRPr="00993C56" w:rsidRDefault="00993C56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993C56">
              <w:rPr>
                <w:sz w:val="16"/>
                <w:szCs w:val="16"/>
                <w:lang w:val="de-CH"/>
              </w:rPr>
              <w:t>II</w:t>
            </w:r>
          </w:p>
        </w:tc>
        <w:tc>
          <w:tcPr>
            <w:tcW w:w="3010" w:type="dxa"/>
            <w:shd w:val="clear" w:color="auto" w:fill="F2F2F2" w:themeFill="background1" w:themeFillShade="F2"/>
          </w:tcPr>
          <w:p w:rsidR="00993C56" w:rsidRPr="003A43C8" w:rsidRDefault="003A43C8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16"/>
                <w:szCs w:val="16"/>
                <w:lang w:val="en-GB"/>
              </w:rPr>
            </w:pPr>
            <w:r w:rsidRPr="003A43C8">
              <w:rPr>
                <w:sz w:val="16"/>
                <w:szCs w:val="16"/>
                <w:lang w:val="en-GB"/>
              </w:rPr>
              <w:t xml:space="preserve">Clinical waste, unspecified, </w:t>
            </w:r>
            <w:proofErr w:type="spellStart"/>
            <w:r w:rsidRPr="003A43C8">
              <w:rPr>
                <w:sz w:val="16"/>
                <w:szCs w:val="16"/>
                <w:lang w:val="en-GB"/>
              </w:rPr>
              <w:t>n.o.s</w:t>
            </w:r>
            <w:proofErr w:type="spellEnd"/>
            <w:r w:rsidRPr="003A43C8">
              <w:rPr>
                <w:sz w:val="16"/>
                <w:szCs w:val="16"/>
                <w:lang w:val="en-GB"/>
              </w:rPr>
              <w:t>. (animal waste)</w:t>
            </w:r>
          </w:p>
        </w:tc>
      </w:tr>
    </w:tbl>
    <w:p w:rsidR="003A43C8" w:rsidRPr="003A43C8" w:rsidRDefault="003A43C8" w:rsidP="00267FD4">
      <w:pPr>
        <w:pStyle w:val="05BAFUGrundschrift"/>
        <w:spacing w:after="566"/>
        <w:rPr>
          <w:i/>
          <w:color w:val="000000" w:themeColor="text1"/>
          <w:sz w:val="16"/>
          <w:szCs w:val="16"/>
          <w:lang w:val="en-GB"/>
        </w:rPr>
      </w:pPr>
      <w:r w:rsidRPr="003A43C8">
        <w:rPr>
          <w:color w:val="000000" w:themeColor="text1"/>
          <w:sz w:val="16"/>
          <w:szCs w:val="16"/>
          <w:lang w:val="en-GB"/>
        </w:rPr>
        <w:t>* PG = Packing Gr</w:t>
      </w:r>
      <w:bookmarkStart w:id="1" w:name="_GoBack"/>
      <w:bookmarkEnd w:id="1"/>
      <w:r w:rsidRPr="003A43C8">
        <w:rPr>
          <w:color w:val="000000" w:themeColor="text1"/>
          <w:sz w:val="16"/>
          <w:szCs w:val="16"/>
          <w:lang w:val="en-GB"/>
        </w:rPr>
        <w:t>oup</w:t>
      </w:r>
    </w:p>
    <w:p w:rsidR="003A43C8" w:rsidRPr="003A43C8" w:rsidRDefault="003A43C8" w:rsidP="003A43C8">
      <w:pPr>
        <w:pStyle w:val="02BAFUTitelnummeriert"/>
        <w:rPr>
          <w:lang w:val="en-GB"/>
        </w:rPr>
      </w:pPr>
      <w:r w:rsidRPr="003A43C8">
        <w:rPr>
          <w:lang w:val="en-GB"/>
        </w:rPr>
        <w:t xml:space="preserve">Interfaces </w:t>
      </w:r>
    </w:p>
    <w:p w:rsidR="003A43C8" w:rsidRPr="003A43C8" w:rsidRDefault="003A43C8" w:rsidP="003A43C8">
      <w:pPr>
        <w:pStyle w:val="05BAFUGrundschrift"/>
        <w:rPr>
          <w:lang w:val="en-GB"/>
        </w:rPr>
      </w:pPr>
      <w:r w:rsidRPr="003A43C8">
        <w:rPr>
          <w:lang w:val="en-GB"/>
        </w:rPr>
        <w:t>With regard to the disposal of biologically contaminated waste, the interfaces with other safety and disposal concepts are regulated as follows:</w:t>
      </w:r>
    </w:p>
    <w:p w:rsidR="003A43C8" w:rsidRPr="003A43C8" w:rsidRDefault="003A43C8" w:rsidP="003A43C8">
      <w:pPr>
        <w:pStyle w:val="05BAFUGrundschriftAufzhlung"/>
        <w:ind w:left="357" w:hanging="357"/>
        <w:rPr>
          <w:lang w:val="en-GB"/>
        </w:rPr>
      </w:pPr>
      <w:r w:rsidRPr="003A43C8">
        <w:rPr>
          <w:b/>
          <w:lang w:val="en-GB"/>
        </w:rPr>
        <w:t>Radioactivity:</w:t>
      </w:r>
      <w:r w:rsidRPr="003A43C8">
        <w:rPr>
          <w:lang w:val="en-GB"/>
        </w:rPr>
        <w:t xml:space="preserve"> Safety Level 2 biological waste containing radioactivity must first be rendered completely inactivate with sufficient disinfectant and then sent to the appropriate radioactive waste.</w:t>
      </w:r>
    </w:p>
    <w:p w:rsidR="003A43C8" w:rsidRPr="003A43C8" w:rsidRDefault="003A43C8" w:rsidP="003A43C8">
      <w:pPr>
        <w:pStyle w:val="05BAFUGrundschriftAufzhlung"/>
        <w:ind w:left="357" w:hanging="357"/>
        <w:rPr>
          <w:lang w:val="en-GB"/>
        </w:rPr>
      </w:pPr>
      <w:r w:rsidRPr="003A43C8">
        <w:rPr>
          <w:b/>
          <w:lang w:val="en-GB"/>
        </w:rPr>
        <w:t>Chemicals:</w:t>
      </w:r>
      <w:r w:rsidRPr="003A43C8">
        <w:rPr>
          <w:lang w:val="en-GB"/>
        </w:rPr>
        <w:t xml:space="preserve"> Safety Level 2 biological waste containing toxic and carcinogenic chemicals must first be rendered completely inactive with sufficient disinfectant and then sent to the appropriate special waste.</w:t>
      </w:r>
    </w:p>
    <w:p w:rsidR="003A43C8" w:rsidRPr="003A43C8" w:rsidRDefault="003A43C8" w:rsidP="003A43C8">
      <w:pPr>
        <w:pStyle w:val="05BAFUGrundschriftAufzhlung"/>
        <w:ind w:left="357" w:hanging="357"/>
        <w:rPr>
          <w:lang w:val="en-GB"/>
        </w:rPr>
      </w:pPr>
      <w:r w:rsidRPr="003A43C8">
        <w:rPr>
          <w:b/>
          <w:lang w:val="en-GB"/>
        </w:rPr>
        <w:t>Waste separation / recycling:</w:t>
      </w:r>
      <w:r w:rsidRPr="003A43C8">
        <w:rPr>
          <w:lang w:val="en-GB"/>
        </w:rPr>
        <w:t xml:space="preserve"> Wherever possible, the waste must be separated into various groups of substances. Reusable materials must be recycled.</w:t>
      </w: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5310EE" w:rsidRDefault="005310EE" w:rsidP="002B0862">
      <w:pPr>
        <w:pStyle w:val="05BAFUGrundschriftAufzhlung"/>
        <w:numPr>
          <w:ilvl w:val="0"/>
          <w:numId w:val="0"/>
        </w:numPr>
      </w:pPr>
    </w:p>
    <w:p w:rsidR="005310EE" w:rsidRDefault="005310EE" w:rsidP="002B0862">
      <w:pPr>
        <w:pStyle w:val="05BAFUGrundschriftAufzhlung"/>
        <w:numPr>
          <w:ilvl w:val="0"/>
          <w:numId w:val="0"/>
        </w:numPr>
      </w:pPr>
    </w:p>
    <w:p w:rsidR="005310EE" w:rsidRDefault="005310EE" w:rsidP="002B0862">
      <w:pPr>
        <w:pStyle w:val="05BAFUGrundschriftAufzhlung"/>
        <w:numPr>
          <w:ilvl w:val="0"/>
          <w:numId w:val="0"/>
        </w:numPr>
      </w:pPr>
    </w:p>
    <w:p w:rsidR="005310EE" w:rsidRDefault="005310EE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tbl>
      <w:tblPr>
        <w:tblStyle w:val="Gitternetztabelle2"/>
        <w:tblpPr w:leftFromText="141" w:rightFromText="141" w:vertAnchor="text" w:horzAnchor="margin" w:tblpY="166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EF1063" w:rsidRPr="00843E20" w:rsidTr="00EF1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F1063" w:rsidRPr="00CF6289" w:rsidRDefault="008C4D08" w:rsidP="00EF1063">
            <w:pPr>
              <w:pStyle w:val="07BAFUTabellelinks"/>
            </w:pPr>
            <w:r w:rsidRPr="008C4D08">
              <w:rPr>
                <w:color w:val="6C9051" w:themeColor="accent2" w:themeShade="BF"/>
                <w:lang w:val="en-GB"/>
              </w:rPr>
              <w:t>Compiled / authorized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EF1063" w:rsidRPr="00CF6289" w:rsidRDefault="00EF1063" w:rsidP="00EF1063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1063" w:rsidRPr="00843E20" w:rsidTr="00EF1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EF1063" w:rsidRPr="00CF6289" w:rsidRDefault="008C4D08" w:rsidP="00EF1063">
            <w:pPr>
              <w:pStyle w:val="07BAFUTabellelinks"/>
            </w:pPr>
            <w:r>
              <w:rPr>
                <w:color w:val="6C9051" w:themeColor="accent2" w:themeShade="BF"/>
              </w:rPr>
              <w:t>Date</w:t>
            </w:r>
          </w:p>
        </w:tc>
        <w:tc>
          <w:tcPr>
            <w:tcW w:w="7487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EF1063" w:rsidRPr="00CF6289" w:rsidRDefault="00EF1063" w:rsidP="00EF1063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23F45" w:rsidRDefault="00323F45" w:rsidP="005310EE">
      <w:pPr>
        <w:pStyle w:val="05BAFUGrundschriftAufzhlung"/>
        <w:numPr>
          <w:ilvl w:val="0"/>
          <w:numId w:val="0"/>
        </w:numPr>
      </w:pPr>
    </w:p>
    <w:p w:rsidR="00412FD8" w:rsidRDefault="00412FD8" w:rsidP="005310EE">
      <w:pPr>
        <w:pStyle w:val="05BAFUGrundschriftAufzhlung"/>
        <w:numPr>
          <w:ilvl w:val="0"/>
          <w:numId w:val="0"/>
        </w:numPr>
      </w:pPr>
    </w:p>
    <w:p w:rsidR="00412FD8" w:rsidRDefault="00412FD8" w:rsidP="005310EE">
      <w:pPr>
        <w:pStyle w:val="05BAFUGrundschriftAufzhlung"/>
        <w:numPr>
          <w:ilvl w:val="0"/>
          <w:numId w:val="0"/>
        </w:numPr>
      </w:pPr>
    </w:p>
    <w:p w:rsidR="00412FD8" w:rsidRPr="004E03D2" w:rsidRDefault="00412FD8" w:rsidP="005310EE">
      <w:pPr>
        <w:pStyle w:val="05BAFUGrundschriftAufzhlung"/>
        <w:numPr>
          <w:ilvl w:val="0"/>
          <w:numId w:val="0"/>
        </w:numPr>
      </w:pPr>
    </w:p>
    <w:sectPr w:rsidR="00412FD8" w:rsidRPr="004E03D2" w:rsidSect="00423618">
      <w:pgSz w:w="11906" w:h="16838" w:code="9"/>
      <w:pgMar w:top="852" w:right="1021" w:bottom="794" w:left="1159" w:header="84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008" w:rsidRDefault="00CD6008" w:rsidP="00DE38F1">
      <w:pPr>
        <w:spacing w:after="0" w:line="240" w:lineRule="auto"/>
      </w:pPr>
      <w:r>
        <w:separator/>
      </w:r>
    </w:p>
  </w:endnote>
  <w:endnote w:type="continuationSeparator" w:id="0">
    <w:p w:rsidR="00CD6008" w:rsidRDefault="00CD6008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008" w:rsidRDefault="00CD6008" w:rsidP="00DE38F1">
      <w:pPr>
        <w:spacing w:after="0" w:line="240" w:lineRule="auto"/>
      </w:pPr>
    </w:p>
  </w:footnote>
  <w:footnote w:type="continuationSeparator" w:id="0">
    <w:p w:rsidR="00CD6008" w:rsidRDefault="00CD6008" w:rsidP="00DE38F1">
      <w:pPr>
        <w:spacing w:after="0" w:line="240" w:lineRule="auto"/>
      </w:pPr>
      <w:r>
        <w:continuationSeparator/>
      </w:r>
    </w:p>
  </w:footnote>
  <w:footnote w:id="1">
    <w:p w:rsidR="0004780C" w:rsidRPr="00F52859" w:rsidRDefault="0004780C" w:rsidP="00F52859">
      <w:pPr>
        <w:pStyle w:val="05BAFUFussnote"/>
        <w:rPr>
          <w:lang w:val="en-GB"/>
        </w:rPr>
      </w:pPr>
      <w:r w:rsidRPr="00F52859">
        <w:rPr>
          <w:rStyle w:val="Funotenzeichen"/>
          <w:lang w:val="en-GB"/>
        </w:rPr>
        <w:footnoteRef/>
      </w:r>
      <w:r w:rsidR="00F52859" w:rsidRPr="00F52859">
        <w:rPr>
          <w:lang w:val="en-GB"/>
        </w:rPr>
        <w:t xml:space="preserve"> </w:t>
      </w:r>
      <w:r w:rsidRPr="00F52859">
        <w:rPr>
          <w:lang w:val="en-GB"/>
        </w:rPr>
        <w:t xml:space="preserve">If no such waste </w:t>
      </w:r>
      <w:proofErr w:type="gramStart"/>
      <w:r w:rsidRPr="00F52859">
        <w:rPr>
          <w:lang w:val="en-GB"/>
        </w:rPr>
        <w:t>is produced</w:t>
      </w:r>
      <w:proofErr w:type="gramEnd"/>
      <w:r w:rsidRPr="00F52859">
        <w:rPr>
          <w:lang w:val="en-GB"/>
        </w:rPr>
        <w:t xml:space="preserve"> in the plant, the whole of the chapter can be omitted.</w:t>
      </w:r>
    </w:p>
  </w:footnote>
  <w:footnote w:id="2">
    <w:p w:rsidR="0004780C" w:rsidRPr="00F52859" w:rsidRDefault="0004780C" w:rsidP="00F52859">
      <w:pPr>
        <w:pStyle w:val="05BAFUFussnote"/>
        <w:rPr>
          <w:lang w:val="en-GB"/>
        </w:rPr>
      </w:pPr>
      <w:r w:rsidRPr="00F52859">
        <w:rPr>
          <w:rStyle w:val="Funotenzeichen"/>
          <w:lang w:val="en-GB"/>
        </w:rPr>
        <w:footnoteRef/>
      </w:r>
      <w:r w:rsidRPr="00F52859">
        <w:rPr>
          <w:lang w:val="en-GB"/>
        </w:rPr>
        <w:t xml:space="preserve"> In this regard, see pp 6 and 14ff. of the Recommendation of the Swiss Expert Committee for Biosafety: on the Treatment and Disposal of Waste in Contained Systems, 2009 (updated April 2017); Swiss Expert Committee for Biosafety, c/o Swiss Agency for the Environment, CH-3003 Bern; obtainable from: </w:t>
      </w:r>
      <w:hyperlink r:id="rId1" w:history="1">
        <w:r w:rsidRPr="00F52859">
          <w:rPr>
            <w:rStyle w:val="Hyperlink"/>
            <w:lang w:val="en-GB"/>
          </w:rPr>
          <w:t>https://www.efbs.admin.ch/inhalte/dokumentation/empfehlungen/Empfehlungen_aktuell/Abfall_EFBS_E.pdf</w:t>
        </w:r>
      </w:hyperlink>
      <w:r w:rsidRPr="00F52859">
        <w:rPr>
          <w:lang w:val="en-GB"/>
        </w:rPr>
        <w:t xml:space="preserve"> </w:t>
      </w:r>
    </w:p>
  </w:footnote>
  <w:footnote w:id="3">
    <w:p w:rsidR="0004780C" w:rsidRPr="00F52859" w:rsidRDefault="0004780C" w:rsidP="00F52859">
      <w:pPr>
        <w:pStyle w:val="05BAFUFussnote"/>
      </w:pPr>
      <w:r w:rsidRPr="00F52859">
        <w:rPr>
          <w:rStyle w:val="Funotenzeichen"/>
          <w:lang w:val="en-GB"/>
        </w:rPr>
        <w:footnoteRef/>
      </w:r>
      <w:r w:rsidRPr="00F52859">
        <w:rPr>
          <w:lang w:val="en-GB"/>
        </w:rPr>
        <w:t xml:space="preserve"> Ordinance on the Movement of Waste </w:t>
      </w:r>
      <w:proofErr w:type="gramStart"/>
      <w:r w:rsidRPr="00F52859">
        <w:rPr>
          <w:lang w:val="en-GB"/>
        </w:rPr>
        <w:t xml:space="preserve">( </w:t>
      </w:r>
      <w:proofErr w:type="spellStart"/>
      <w:r w:rsidRPr="00F52859">
        <w:rPr>
          <w:lang w:val="en-GB"/>
        </w:rPr>
        <w:t>Verordnung</w:t>
      </w:r>
      <w:proofErr w:type="spellEnd"/>
      <w:proofErr w:type="gramEnd"/>
      <w:r w:rsidRPr="00F52859">
        <w:rPr>
          <w:lang w:val="en-GB"/>
        </w:rPr>
        <w:t xml:space="preserve"> </w:t>
      </w:r>
      <w:proofErr w:type="spellStart"/>
      <w:r w:rsidRPr="00F52859">
        <w:rPr>
          <w:lang w:val="en-GB"/>
        </w:rPr>
        <w:t>vom</w:t>
      </w:r>
      <w:proofErr w:type="spellEnd"/>
      <w:r w:rsidRPr="00F52859">
        <w:rPr>
          <w:lang w:val="en-GB"/>
        </w:rPr>
        <w:t xml:space="preserve"> 22. </w:t>
      </w:r>
      <w:r w:rsidRPr="00F52859">
        <w:t>Juni 2005 über den Verkehr mit Abfällen (</w:t>
      </w:r>
      <w:proofErr w:type="spellStart"/>
      <w:r w:rsidRPr="00F52859">
        <w:t>VeVA</w:t>
      </w:r>
      <w:proofErr w:type="spellEnd"/>
      <w:r w:rsidRPr="00F52859">
        <w:t xml:space="preserve">, SR 814.610)) </w:t>
      </w:r>
      <w:r w:rsidRPr="00F52859">
        <w:br/>
        <w:t xml:space="preserve">See: </w:t>
      </w:r>
      <w:hyperlink r:id="rId2" w:history="1">
        <w:r w:rsidRPr="00F52859">
          <w:rPr>
            <w:rStyle w:val="Hyperlink"/>
            <w:i w:val="0"/>
          </w:rPr>
          <w:t>http://www.bafu.admin.ch/</w:t>
        </w:r>
      </w:hyperlink>
      <w:r w:rsidRPr="00F52859">
        <w:t xml:space="preserve">» </w:t>
      </w:r>
      <w:hyperlink r:id="rId3" w:history="1">
        <w:r w:rsidRPr="00F52859">
          <w:t>Topics</w:t>
        </w:r>
      </w:hyperlink>
      <w:r w:rsidRPr="00F52859">
        <w:t xml:space="preserve"> » </w:t>
      </w:r>
      <w:hyperlink r:id="rId4" w:history="1">
        <w:proofErr w:type="spellStart"/>
        <w:r w:rsidRPr="00F52859">
          <w:t>Waste</w:t>
        </w:r>
        <w:proofErr w:type="spellEnd"/>
      </w:hyperlink>
      <w:r w:rsidRPr="00F52859">
        <w:t xml:space="preserve"> » </w:t>
      </w:r>
      <w:proofErr w:type="spellStart"/>
      <w:r w:rsidRPr="00F52859">
        <w:t>Legislation</w:t>
      </w:r>
      <w:proofErr w:type="spellEnd"/>
      <w:r w:rsidRPr="00F52859">
        <w:t xml:space="preserve"> » Acts </w:t>
      </w:r>
      <w:proofErr w:type="spellStart"/>
      <w:r w:rsidRPr="00F52859">
        <w:t>and</w:t>
      </w:r>
      <w:proofErr w:type="spellEnd"/>
      <w:r w:rsidRPr="00F52859">
        <w:t xml:space="preserve"> </w:t>
      </w:r>
      <w:proofErr w:type="spellStart"/>
      <w:r w:rsidRPr="00F52859">
        <w:t>Ordinances</w:t>
      </w:r>
      <w:proofErr w:type="spellEnd"/>
    </w:p>
  </w:footnote>
  <w:footnote w:id="4">
    <w:p w:rsidR="00B11396" w:rsidRPr="00F52859" w:rsidRDefault="00B11396" w:rsidP="00F52859">
      <w:pPr>
        <w:pStyle w:val="05BAFUFussnote"/>
        <w:rPr>
          <w:lang w:val="en-GB"/>
        </w:rPr>
      </w:pPr>
      <w:r w:rsidRPr="00F52859">
        <w:rPr>
          <w:rStyle w:val="Funotenzeichen"/>
          <w:lang w:val="en-GB"/>
        </w:rPr>
        <w:footnoteRef/>
      </w:r>
      <w:r w:rsidRPr="00F52859">
        <w:rPr>
          <w:lang w:val="en-GB"/>
        </w:rPr>
        <w:t xml:space="preserve"> If no animal waste </w:t>
      </w:r>
      <w:proofErr w:type="gramStart"/>
      <w:r w:rsidRPr="00F52859">
        <w:rPr>
          <w:lang w:val="en-GB"/>
        </w:rPr>
        <w:t>is produced</w:t>
      </w:r>
      <w:proofErr w:type="gramEnd"/>
      <w:r w:rsidRPr="00F52859">
        <w:rPr>
          <w:lang w:val="en-GB"/>
        </w:rPr>
        <w:t xml:space="preserve"> in the plant, the whole of the chapter can be omitted.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3C2" w:rsidRPr="00DD0BE4" w:rsidRDefault="003A43C2" w:rsidP="005310EE">
    <w:pPr>
      <w:pStyle w:val="99BAFUKopfzeile"/>
      <w:rPr>
        <w:color w:val="auto"/>
        <w:lang w:val="en-GB"/>
      </w:rPr>
    </w:pPr>
    <w:r w:rsidRPr="00DD0BE4">
      <w:rPr>
        <w:color w:val="auto"/>
        <w:lang w:val="en-GB"/>
      </w:rPr>
      <w:t>An</w:t>
    </w:r>
    <w:r w:rsidR="00DD0BE4">
      <w:rPr>
        <w:color w:val="auto"/>
        <w:lang w:val="en-GB"/>
      </w:rPr>
      <w:t>nex</w:t>
    </w:r>
    <w:r w:rsidRPr="00DD0BE4">
      <w:rPr>
        <w:color w:val="auto"/>
        <w:lang w:val="en-GB"/>
      </w:rPr>
      <w:t xml:space="preserve"> 1</w:t>
    </w:r>
    <w:r w:rsidR="00737F18" w:rsidRPr="00DD0BE4">
      <w:rPr>
        <w:color w:val="auto"/>
        <w:lang w:val="en-GB"/>
      </w:rPr>
      <w:t>4</w:t>
    </w:r>
    <w:r w:rsidRPr="00DD0BE4">
      <w:rPr>
        <w:color w:val="auto"/>
        <w:lang w:val="en-GB"/>
      </w:rPr>
      <w:t xml:space="preserve">. </w:t>
    </w:r>
    <w:r w:rsidR="00DD0BE4" w:rsidRPr="00DD0BE4">
      <w:rPr>
        <w:color w:val="auto"/>
        <w:lang w:val="en-US"/>
      </w:rPr>
      <w:t xml:space="preserve">Safety concept </w:t>
    </w:r>
    <w:r w:rsidR="00DD0BE4" w:rsidRPr="00DD0BE4">
      <w:rPr>
        <w:color w:val="auto"/>
        <w:lang w:val="en-GB"/>
      </w:rPr>
      <w:t>according</w:t>
    </w:r>
    <w:r w:rsidR="00DD0BE4" w:rsidRPr="00DD0BE4">
      <w:rPr>
        <w:color w:val="auto"/>
        <w:lang w:val="en-US"/>
      </w:rPr>
      <w:t xml:space="preserve"> to ESV and SAMV for Level 2 laboratories</w:t>
    </w:r>
    <w:r w:rsidR="00DD0BE4" w:rsidRPr="00DD0BE4">
      <w:rPr>
        <w:color w:val="auto"/>
        <w:lang w:val="en-GB"/>
      </w:rPr>
      <w:t xml:space="preserve">  </w:t>
    </w:r>
    <w:r w:rsidR="00DD0BE4" w:rsidRPr="00DD0BE4">
      <w:rPr>
        <w:rStyle w:val="99Kopfzeilegrau"/>
        <w:lang w:val="en-GB"/>
      </w:rPr>
      <w:t>© FOEN 2019</w:t>
    </w:r>
    <w:r w:rsidRPr="00DD0BE4">
      <w:rPr>
        <w:color w:val="auto"/>
        <w:lang w:val="en-GB"/>
      </w:rPr>
      <w:tab/>
    </w:r>
    <w:r w:rsidRPr="005310EE">
      <w:rPr>
        <w:color w:val="auto"/>
      </w:rPr>
      <w:fldChar w:fldCharType="begin"/>
    </w:r>
    <w:r w:rsidRPr="00DD0BE4">
      <w:rPr>
        <w:color w:val="auto"/>
        <w:lang w:val="en-GB"/>
      </w:rPr>
      <w:instrText>PAGE   \* MERGEFORMAT</w:instrText>
    </w:r>
    <w:r w:rsidRPr="005310EE">
      <w:rPr>
        <w:color w:val="auto"/>
      </w:rPr>
      <w:fldChar w:fldCharType="separate"/>
    </w:r>
    <w:r w:rsidR="00267FD4">
      <w:rPr>
        <w:color w:val="auto"/>
        <w:lang w:val="en-GB"/>
      </w:rPr>
      <w:t>1</w:t>
    </w:r>
    <w:r w:rsidRPr="005310EE">
      <w:rPr>
        <w:color w:val="auto"/>
      </w:rPr>
      <w:fldChar w:fldCharType="end"/>
    </w:r>
  </w:p>
  <w:p w:rsidR="003A43C2" w:rsidRPr="00DD0BE4" w:rsidRDefault="003A43C2" w:rsidP="00423618">
    <w:pPr>
      <w:pStyle w:val="99BAFUSatzspiegellinie"/>
      <w:tabs>
        <w:tab w:val="clear" w:pos="9072"/>
        <w:tab w:val="left" w:pos="1038"/>
      </w:tabs>
      <w:rPr>
        <w:lang w:val="en-GB"/>
      </w:rPr>
    </w:pPr>
  </w:p>
  <w:p w:rsidR="003A43C2" w:rsidRPr="00DD0BE4" w:rsidRDefault="003A43C2" w:rsidP="00423618">
    <w:pPr>
      <w:pStyle w:val="Kopfzeile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3C2" w:rsidRPr="001045A7" w:rsidRDefault="001045A7" w:rsidP="000B52E9">
    <w:pPr>
      <w:pStyle w:val="Kopfzeile"/>
      <w:tabs>
        <w:tab w:val="clear" w:pos="9072"/>
        <w:tab w:val="right" w:pos="14742"/>
      </w:tabs>
      <w:rPr>
        <w:lang w:val="en-GB"/>
      </w:rPr>
    </w:pPr>
    <w:r w:rsidRPr="001045A7">
      <w:rPr>
        <w:noProof/>
        <w:lang w:val="en-GB"/>
      </w:rPr>
      <w:t>Annex 14. Safety concept according to ESV and SAMV for Level 2 laboratories  © FOEN 2019</w:t>
    </w:r>
    <w:r w:rsidR="003A43C2" w:rsidRPr="001045A7">
      <w:rPr>
        <w:lang w:val="en-GB"/>
      </w:rPr>
      <w:tab/>
    </w:r>
    <w:r w:rsidR="003A43C2">
      <w:fldChar w:fldCharType="begin"/>
    </w:r>
    <w:r w:rsidR="003A43C2" w:rsidRPr="001045A7">
      <w:rPr>
        <w:lang w:val="en-GB"/>
      </w:rPr>
      <w:instrText>PAGE   \* MERGEFORMAT</w:instrText>
    </w:r>
    <w:r w:rsidR="003A43C2">
      <w:fldChar w:fldCharType="separate"/>
    </w:r>
    <w:r w:rsidR="00267FD4">
      <w:rPr>
        <w:noProof/>
        <w:lang w:val="en-GB"/>
      </w:rPr>
      <w:t>5</w:t>
    </w:r>
    <w:r w:rsidR="003A43C2">
      <w:fldChar w:fldCharType="end"/>
    </w:r>
  </w:p>
  <w:p w:rsidR="003A43C2" w:rsidRPr="001045A7" w:rsidRDefault="003A43C2" w:rsidP="00423618">
    <w:pPr>
      <w:pStyle w:val="99BAFUSatzspiegellinie"/>
      <w:tabs>
        <w:tab w:val="clear" w:pos="9072"/>
        <w:tab w:val="left" w:pos="2338"/>
      </w:tabs>
      <w:rPr>
        <w:lang w:val="en-GB"/>
      </w:rPr>
    </w:pPr>
  </w:p>
  <w:p w:rsidR="003A43C2" w:rsidRPr="001045A7" w:rsidRDefault="003A43C2" w:rsidP="00423618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hint="default"/>
      </w:rPr>
    </w:lvl>
  </w:abstractNum>
  <w:abstractNum w:abstractNumId="1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2A8618D9"/>
    <w:multiLevelType w:val="hybridMultilevel"/>
    <w:tmpl w:val="D5A25C10"/>
    <w:lvl w:ilvl="0" w:tplc="C26C30C4">
      <w:start w:val="1"/>
      <w:numFmt w:val="bullet"/>
      <w:pStyle w:val="05BAFUGrundschriftAufzhlung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7DE22146"/>
    <w:multiLevelType w:val="hybridMultilevel"/>
    <w:tmpl w:val="BAEC90EE"/>
    <w:lvl w:ilvl="0" w:tplc="39A6101E">
      <w:start w:val="1"/>
      <w:numFmt w:val="decimal"/>
      <w:pStyle w:val="02BAFUTitelnummeriert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4"/>
  </w:num>
  <w:num w:numId="9">
    <w:abstractNumId w:val="7"/>
  </w:num>
  <w:num w:numId="10">
    <w:abstractNumId w:val="4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02B76"/>
    <w:rsid w:val="000159CF"/>
    <w:rsid w:val="0002726B"/>
    <w:rsid w:val="000441AA"/>
    <w:rsid w:val="0004780C"/>
    <w:rsid w:val="000508B2"/>
    <w:rsid w:val="000512CD"/>
    <w:rsid w:val="00054899"/>
    <w:rsid w:val="000568A8"/>
    <w:rsid w:val="000731DA"/>
    <w:rsid w:val="00077CC3"/>
    <w:rsid w:val="00084994"/>
    <w:rsid w:val="00087890"/>
    <w:rsid w:val="000904E5"/>
    <w:rsid w:val="000B52E9"/>
    <w:rsid w:val="000C7E51"/>
    <w:rsid w:val="000D6AEE"/>
    <w:rsid w:val="000E0AFD"/>
    <w:rsid w:val="000E452C"/>
    <w:rsid w:val="000E45B2"/>
    <w:rsid w:val="00103E74"/>
    <w:rsid w:val="001045A7"/>
    <w:rsid w:val="00114F0A"/>
    <w:rsid w:val="0011540C"/>
    <w:rsid w:val="00137A4D"/>
    <w:rsid w:val="0014129F"/>
    <w:rsid w:val="00141E0E"/>
    <w:rsid w:val="00151AA2"/>
    <w:rsid w:val="00153C5B"/>
    <w:rsid w:val="00153F00"/>
    <w:rsid w:val="00153F2E"/>
    <w:rsid w:val="001616BD"/>
    <w:rsid w:val="001651FF"/>
    <w:rsid w:val="00166B18"/>
    <w:rsid w:val="001710A2"/>
    <w:rsid w:val="00171342"/>
    <w:rsid w:val="00174045"/>
    <w:rsid w:val="001773BB"/>
    <w:rsid w:val="00194DC9"/>
    <w:rsid w:val="00196C21"/>
    <w:rsid w:val="001A44A2"/>
    <w:rsid w:val="001B43F2"/>
    <w:rsid w:val="001C0228"/>
    <w:rsid w:val="001C1F8F"/>
    <w:rsid w:val="001C37D6"/>
    <w:rsid w:val="001C5CBC"/>
    <w:rsid w:val="001D5333"/>
    <w:rsid w:val="001D571F"/>
    <w:rsid w:val="001D5784"/>
    <w:rsid w:val="001E08D4"/>
    <w:rsid w:val="001E33A5"/>
    <w:rsid w:val="001F376D"/>
    <w:rsid w:val="001F3837"/>
    <w:rsid w:val="00203AE3"/>
    <w:rsid w:val="00206A92"/>
    <w:rsid w:val="0022112A"/>
    <w:rsid w:val="00252555"/>
    <w:rsid w:val="002555A8"/>
    <w:rsid w:val="00256463"/>
    <w:rsid w:val="002677B6"/>
    <w:rsid w:val="00267CF3"/>
    <w:rsid w:val="00267FD4"/>
    <w:rsid w:val="00270A24"/>
    <w:rsid w:val="00276DDF"/>
    <w:rsid w:val="00284FE3"/>
    <w:rsid w:val="00286B19"/>
    <w:rsid w:val="002A0483"/>
    <w:rsid w:val="002B0862"/>
    <w:rsid w:val="002C7AD1"/>
    <w:rsid w:val="002E6D7E"/>
    <w:rsid w:val="002F1914"/>
    <w:rsid w:val="00303E74"/>
    <w:rsid w:val="0030499A"/>
    <w:rsid w:val="00312C36"/>
    <w:rsid w:val="003176A2"/>
    <w:rsid w:val="00323F45"/>
    <w:rsid w:val="00340CA8"/>
    <w:rsid w:val="00342FD2"/>
    <w:rsid w:val="00345392"/>
    <w:rsid w:val="00350EB3"/>
    <w:rsid w:val="00355384"/>
    <w:rsid w:val="003565E8"/>
    <w:rsid w:val="003741F7"/>
    <w:rsid w:val="003746C6"/>
    <w:rsid w:val="00375BEF"/>
    <w:rsid w:val="0037648C"/>
    <w:rsid w:val="003766B9"/>
    <w:rsid w:val="00392765"/>
    <w:rsid w:val="003A2FCE"/>
    <w:rsid w:val="003A43C2"/>
    <w:rsid w:val="003A43C8"/>
    <w:rsid w:val="003A597F"/>
    <w:rsid w:val="003B6705"/>
    <w:rsid w:val="003D6F38"/>
    <w:rsid w:val="003E0730"/>
    <w:rsid w:val="003F215E"/>
    <w:rsid w:val="00412FD8"/>
    <w:rsid w:val="00423368"/>
    <w:rsid w:val="00423618"/>
    <w:rsid w:val="0042796B"/>
    <w:rsid w:val="00443997"/>
    <w:rsid w:val="00456CCB"/>
    <w:rsid w:val="00463452"/>
    <w:rsid w:val="00465964"/>
    <w:rsid w:val="004719B0"/>
    <w:rsid w:val="00490C6C"/>
    <w:rsid w:val="004B4476"/>
    <w:rsid w:val="004B7112"/>
    <w:rsid w:val="004C0384"/>
    <w:rsid w:val="004C4B1D"/>
    <w:rsid w:val="004E03D2"/>
    <w:rsid w:val="004E5C57"/>
    <w:rsid w:val="004E7EAC"/>
    <w:rsid w:val="004F374B"/>
    <w:rsid w:val="004F44ED"/>
    <w:rsid w:val="00505D36"/>
    <w:rsid w:val="0051314B"/>
    <w:rsid w:val="00526A0C"/>
    <w:rsid w:val="005310EE"/>
    <w:rsid w:val="005413E3"/>
    <w:rsid w:val="00546E75"/>
    <w:rsid w:val="00555CC1"/>
    <w:rsid w:val="005663E4"/>
    <w:rsid w:val="00570D73"/>
    <w:rsid w:val="00573B63"/>
    <w:rsid w:val="00590EFB"/>
    <w:rsid w:val="00592236"/>
    <w:rsid w:val="005936E6"/>
    <w:rsid w:val="00597917"/>
    <w:rsid w:val="005A2236"/>
    <w:rsid w:val="005A2AD0"/>
    <w:rsid w:val="005B2F37"/>
    <w:rsid w:val="005B4E5A"/>
    <w:rsid w:val="005B555C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26941"/>
    <w:rsid w:val="00632CAC"/>
    <w:rsid w:val="00636073"/>
    <w:rsid w:val="00640683"/>
    <w:rsid w:val="006555AB"/>
    <w:rsid w:val="00656D20"/>
    <w:rsid w:val="00656E64"/>
    <w:rsid w:val="00662AEE"/>
    <w:rsid w:val="00667DD8"/>
    <w:rsid w:val="00671704"/>
    <w:rsid w:val="00673184"/>
    <w:rsid w:val="00675961"/>
    <w:rsid w:val="0068153F"/>
    <w:rsid w:val="006822CA"/>
    <w:rsid w:val="00683C22"/>
    <w:rsid w:val="0068661A"/>
    <w:rsid w:val="006901D2"/>
    <w:rsid w:val="006A2B0C"/>
    <w:rsid w:val="006B4642"/>
    <w:rsid w:val="006E1D49"/>
    <w:rsid w:val="006E2BB4"/>
    <w:rsid w:val="006E2C99"/>
    <w:rsid w:val="006E453A"/>
    <w:rsid w:val="006E7C6F"/>
    <w:rsid w:val="006F131A"/>
    <w:rsid w:val="006F27DB"/>
    <w:rsid w:val="007004B3"/>
    <w:rsid w:val="00702B4D"/>
    <w:rsid w:val="00704BD5"/>
    <w:rsid w:val="00705F68"/>
    <w:rsid w:val="00706C67"/>
    <w:rsid w:val="0071445F"/>
    <w:rsid w:val="0071576D"/>
    <w:rsid w:val="00727ECB"/>
    <w:rsid w:val="0073013E"/>
    <w:rsid w:val="0073126F"/>
    <w:rsid w:val="007313BE"/>
    <w:rsid w:val="007329FD"/>
    <w:rsid w:val="00734F2C"/>
    <w:rsid w:val="00737F18"/>
    <w:rsid w:val="0074070B"/>
    <w:rsid w:val="0074451B"/>
    <w:rsid w:val="00763C01"/>
    <w:rsid w:val="00763EC0"/>
    <w:rsid w:val="007657BC"/>
    <w:rsid w:val="007669E5"/>
    <w:rsid w:val="00784F1A"/>
    <w:rsid w:val="0079704F"/>
    <w:rsid w:val="007A2A66"/>
    <w:rsid w:val="007A4B64"/>
    <w:rsid w:val="007B0F69"/>
    <w:rsid w:val="007B3F2C"/>
    <w:rsid w:val="007B48BE"/>
    <w:rsid w:val="007C15F5"/>
    <w:rsid w:val="007C375B"/>
    <w:rsid w:val="007D348C"/>
    <w:rsid w:val="007D383C"/>
    <w:rsid w:val="007D51FC"/>
    <w:rsid w:val="007E7634"/>
    <w:rsid w:val="007F5163"/>
    <w:rsid w:val="0080534A"/>
    <w:rsid w:val="0082067C"/>
    <w:rsid w:val="00821FE4"/>
    <w:rsid w:val="00824DEE"/>
    <w:rsid w:val="008263A1"/>
    <w:rsid w:val="00830F17"/>
    <w:rsid w:val="00832475"/>
    <w:rsid w:val="00832A96"/>
    <w:rsid w:val="008342B2"/>
    <w:rsid w:val="008347FA"/>
    <w:rsid w:val="0083754E"/>
    <w:rsid w:val="00840AB7"/>
    <w:rsid w:val="0085003C"/>
    <w:rsid w:val="00852AF0"/>
    <w:rsid w:val="00855F6B"/>
    <w:rsid w:val="0088219E"/>
    <w:rsid w:val="008862D6"/>
    <w:rsid w:val="00895250"/>
    <w:rsid w:val="008B03E6"/>
    <w:rsid w:val="008C4D08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212AF"/>
    <w:rsid w:val="009365F9"/>
    <w:rsid w:val="00942F12"/>
    <w:rsid w:val="0095210C"/>
    <w:rsid w:val="0097236B"/>
    <w:rsid w:val="00972829"/>
    <w:rsid w:val="00976A40"/>
    <w:rsid w:val="00983B25"/>
    <w:rsid w:val="00984E0B"/>
    <w:rsid w:val="00993C56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6C37"/>
    <w:rsid w:val="009D727E"/>
    <w:rsid w:val="009E4826"/>
    <w:rsid w:val="009E4C68"/>
    <w:rsid w:val="009E51A0"/>
    <w:rsid w:val="009F49D8"/>
    <w:rsid w:val="00A14BD2"/>
    <w:rsid w:val="00A14E83"/>
    <w:rsid w:val="00A16472"/>
    <w:rsid w:val="00A1749B"/>
    <w:rsid w:val="00A2294E"/>
    <w:rsid w:val="00A23AAB"/>
    <w:rsid w:val="00A2414A"/>
    <w:rsid w:val="00A255F2"/>
    <w:rsid w:val="00A318BE"/>
    <w:rsid w:val="00A36765"/>
    <w:rsid w:val="00A6017D"/>
    <w:rsid w:val="00A60378"/>
    <w:rsid w:val="00A66A3D"/>
    <w:rsid w:val="00A72158"/>
    <w:rsid w:val="00A82010"/>
    <w:rsid w:val="00A84F32"/>
    <w:rsid w:val="00A9301F"/>
    <w:rsid w:val="00A97A6B"/>
    <w:rsid w:val="00AB39EF"/>
    <w:rsid w:val="00AC2BB5"/>
    <w:rsid w:val="00AC4985"/>
    <w:rsid w:val="00AD2418"/>
    <w:rsid w:val="00AE0E53"/>
    <w:rsid w:val="00AE2978"/>
    <w:rsid w:val="00AE55DC"/>
    <w:rsid w:val="00AF3C5E"/>
    <w:rsid w:val="00B11396"/>
    <w:rsid w:val="00B16A2C"/>
    <w:rsid w:val="00B17637"/>
    <w:rsid w:val="00B21758"/>
    <w:rsid w:val="00B319B1"/>
    <w:rsid w:val="00B325D1"/>
    <w:rsid w:val="00B40C53"/>
    <w:rsid w:val="00B63EAC"/>
    <w:rsid w:val="00B72F99"/>
    <w:rsid w:val="00B87B03"/>
    <w:rsid w:val="00B91E01"/>
    <w:rsid w:val="00B95429"/>
    <w:rsid w:val="00B95729"/>
    <w:rsid w:val="00BB0408"/>
    <w:rsid w:val="00BB2C13"/>
    <w:rsid w:val="00BC08C8"/>
    <w:rsid w:val="00BC1ED8"/>
    <w:rsid w:val="00BD470D"/>
    <w:rsid w:val="00BD5E73"/>
    <w:rsid w:val="00BD7ACA"/>
    <w:rsid w:val="00BE4C60"/>
    <w:rsid w:val="00BF0385"/>
    <w:rsid w:val="00BF185C"/>
    <w:rsid w:val="00BF5276"/>
    <w:rsid w:val="00C030CC"/>
    <w:rsid w:val="00C06D65"/>
    <w:rsid w:val="00C249F0"/>
    <w:rsid w:val="00C40A0B"/>
    <w:rsid w:val="00C523A9"/>
    <w:rsid w:val="00C562AD"/>
    <w:rsid w:val="00C603A6"/>
    <w:rsid w:val="00C64A62"/>
    <w:rsid w:val="00C71A5D"/>
    <w:rsid w:val="00C732B1"/>
    <w:rsid w:val="00C73B33"/>
    <w:rsid w:val="00C76B89"/>
    <w:rsid w:val="00C76DEA"/>
    <w:rsid w:val="00C81D31"/>
    <w:rsid w:val="00C86541"/>
    <w:rsid w:val="00CA49CB"/>
    <w:rsid w:val="00CA7010"/>
    <w:rsid w:val="00CB5B6D"/>
    <w:rsid w:val="00CC0951"/>
    <w:rsid w:val="00CC1A82"/>
    <w:rsid w:val="00CC6A37"/>
    <w:rsid w:val="00CD6008"/>
    <w:rsid w:val="00CE6B13"/>
    <w:rsid w:val="00CF4C7D"/>
    <w:rsid w:val="00CF6289"/>
    <w:rsid w:val="00CF7E2C"/>
    <w:rsid w:val="00D02888"/>
    <w:rsid w:val="00D04687"/>
    <w:rsid w:val="00D046D6"/>
    <w:rsid w:val="00D11BBC"/>
    <w:rsid w:val="00D12461"/>
    <w:rsid w:val="00D313E8"/>
    <w:rsid w:val="00D32634"/>
    <w:rsid w:val="00D3342E"/>
    <w:rsid w:val="00D3752A"/>
    <w:rsid w:val="00D45963"/>
    <w:rsid w:val="00D45CE1"/>
    <w:rsid w:val="00D51822"/>
    <w:rsid w:val="00D53403"/>
    <w:rsid w:val="00D654D6"/>
    <w:rsid w:val="00D93ADD"/>
    <w:rsid w:val="00D9789D"/>
    <w:rsid w:val="00DA11C0"/>
    <w:rsid w:val="00DA351C"/>
    <w:rsid w:val="00DB118B"/>
    <w:rsid w:val="00DD0BE4"/>
    <w:rsid w:val="00DD5049"/>
    <w:rsid w:val="00DE38F1"/>
    <w:rsid w:val="00DE4CF2"/>
    <w:rsid w:val="00DF10B8"/>
    <w:rsid w:val="00E01811"/>
    <w:rsid w:val="00E03B46"/>
    <w:rsid w:val="00E17847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81548"/>
    <w:rsid w:val="00E96286"/>
    <w:rsid w:val="00EA3E4B"/>
    <w:rsid w:val="00EA4E63"/>
    <w:rsid w:val="00EC03F3"/>
    <w:rsid w:val="00EC4066"/>
    <w:rsid w:val="00ED6F44"/>
    <w:rsid w:val="00ED7710"/>
    <w:rsid w:val="00ED789D"/>
    <w:rsid w:val="00EE022D"/>
    <w:rsid w:val="00EF1063"/>
    <w:rsid w:val="00EF3BDB"/>
    <w:rsid w:val="00F04BA4"/>
    <w:rsid w:val="00F05162"/>
    <w:rsid w:val="00F06554"/>
    <w:rsid w:val="00F10543"/>
    <w:rsid w:val="00F21441"/>
    <w:rsid w:val="00F325C1"/>
    <w:rsid w:val="00F336DA"/>
    <w:rsid w:val="00F3466A"/>
    <w:rsid w:val="00F46CCD"/>
    <w:rsid w:val="00F52859"/>
    <w:rsid w:val="00F57024"/>
    <w:rsid w:val="00F61017"/>
    <w:rsid w:val="00F63A80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4611"/>
    <w:rsid w:val="00FC6C30"/>
    <w:rsid w:val="00FD024C"/>
    <w:rsid w:val="00FD2B6A"/>
    <w:rsid w:val="00FE0F73"/>
    <w:rsid w:val="00FE68A5"/>
    <w:rsid w:val="00FF2201"/>
    <w:rsid w:val="00FF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2"/>
      </w:numPr>
    </w:pPr>
  </w:style>
  <w:style w:type="paragraph" w:customStyle="1" w:styleId="02BAFUTitelnummeriert">
    <w:name w:val="02_BAFU_Titel_nummeriert"/>
    <w:basedOn w:val="Standard"/>
    <w:qFormat/>
    <w:rsid w:val="00EC4066"/>
    <w:pPr>
      <w:numPr>
        <w:numId w:val="6"/>
      </w:numPr>
      <w:tabs>
        <w:tab w:val="right" w:pos="9015"/>
      </w:tabs>
      <w:spacing w:after="284" w:line="283" w:lineRule="exact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1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3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AE2978"/>
    <w:pPr>
      <w:numPr>
        <w:numId w:val="7"/>
      </w:numPr>
      <w:spacing w:after="0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4"/>
      </w:numPr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5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customStyle="1" w:styleId="Tabelle">
    <w:name w:val="Tabelle"/>
    <w:basedOn w:val="Standard"/>
    <w:rsid w:val="00824DEE"/>
    <w:pPr>
      <w:tabs>
        <w:tab w:val="left" w:pos="567"/>
      </w:tabs>
      <w:spacing w:before="20" w:after="20" w:line="240" w:lineRule="atLeast"/>
      <w:ind w:left="57" w:right="57"/>
    </w:pPr>
    <w:rPr>
      <w:rFonts w:ascii="Arial" w:eastAsia="Times New Roman" w:hAnsi="Arial" w:cs="Times New Roman"/>
      <w:sz w:val="18"/>
      <w:szCs w:val="20"/>
      <w:lang w:val="de-DE" w:eastAsia="de-DE"/>
    </w:rPr>
  </w:style>
  <w:style w:type="paragraph" w:customStyle="1" w:styleId="Erluterung1">
    <w:name w:val="Erläuterung 1"/>
    <w:basedOn w:val="Kopfzeile"/>
    <w:rsid w:val="00C249F0"/>
    <w:pPr>
      <w:tabs>
        <w:tab w:val="clear" w:pos="9072"/>
        <w:tab w:val="right" w:pos="8505"/>
      </w:tabs>
      <w:spacing w:line="280" w:lineRule="atLeast"/>
    </w:pPr>
    <w:rPr>
      <w:rFonts w:ascii="Helvetica" w:eastAsia="Times" w:hAnsi="Helvetica" w:cs="Times New Roman"/>
      <w:i/>
      <w:smallCaps/>
      <w:color w:val="008080"/>
      <w:sz w:val="20"/>
      <w:szCs w:val="20"/>
      <w:lang w:eastAsia="de-DE"/>
    </w:rPr>
  </w:style>
  <w:style w:type="paragraph" w:customStyle="1" w:styleId="Erluterung2">
    <w:name w:val="Erläuterung 2"/>
    <w:basedOn w:val="Standard"/>
    <w:rsid w:val="00DD0BE4"/>
    <w:pPr>
      <w:pBdr>
        <w:top w:val="single" w:sz="4" w:space="4" w:color="008080"/>
        <w:left w:val="single" w:sz="4" w:space="2" w:color="008080"/>
        <w:bottom w:val="single" w:sz="4" w:space="4" w:color="008080"/>
        <w:right w:val="single" w:sz="4" w:space="0" w:color="008080"/>
      </w:pBdr>
      <w:shd w:val="pct10" w:color="auto" w:fill="auto"/>
      <w:spacing w:after="0" w:line="280" w:lineRule="atLeast"/>
    </w:pPr>
    <w:rPr>
      <w:rFonts w:ascii="Helvetica" w:eastAsia="Times" w:hAnsi="Helvetica" w:cs="Times New Roman"/>
      <w:i/>
      <w:smallCaps/>
      <w:color w:val="00808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welt-schweiz.ch/buwal/de/fachgebiete/index.html" TargetMode="External"/><Relationship Id="rId2" Type="http://schemas.openxmlformats.org/officeDocument/2006/relationships/hyperlink" Target="http://www.bafu.admin.ch/" TargetMode="External"/><Relationship Id="rId1" Type="http://schemas.openxmlformats.org/officeDocument/2006/relationships/hyperlink" Target="https://www.efbs.admin.ch/inhalte/dokumentation/empfehlungen/Empfehlungen_aktuell/Abfall_EFBS_E.pdf" TargetMode="External"/><Relationship Id="rId4" Type="http://schemas.openxmlformats.org/officeDocument/2006/relationships/hyperlink" Target="http://www.umwelt-schweiz.ch/buwal/de/fachgebiete/fg_abfall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842815\Downloads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93FA9-9832-4F5F-A436-693370A8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VORL_Anhang_ESV.dotx</Template>
  <TotalTime>0</TotalTime>
  <Pages>5</Pages>
  <Words>1290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Pre-Media</cp:lastModifiedBy>
  <cp:revision>26</cp:revision>
  <cp:lastPrinted>2019-09-05T12:42:00Z</cp:lastPrinted>
  <dcterms:created xsi:type="dcterms:W3CDTF">2020-02-05T13:16:00Z</dcterms:created>
  <dcterms:modified xsi:type="dcterms:W3CDTF">2020-02-05T14:29:00Z</dcterms:modified>
</cp:coreProperties>
</file>