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7C36BD" w:rsidRDefault="009E4C68" w:rsidP="009E4C68">
      <w:pPr>
        <w:pStyle w:val="01BAFUKapiteltitelnummeriert"/>
        <w:numPr>
          <w:ilvl w:val="0"/>
          <w:numId w:val="0"/>
        </w:numPr>
        <w:rPr>
          <w:lang w:val="fr-CH"/>
        </w:rPr>
      </w:pPr>
      <w:bookmarkStart w:id="0" w:name="_Toc12457507"/>
      <w:r w:rsidRPr="007C36BD">
        <w:rPr>
          <w:color w:val="B6BDBB"/>
          <w:lang w:val="fr-CH"/>
        </w:rPr>
        <w:t>A</w:t>
      </w:r>
      <w:r w:rsidR="007C36BD" w:rsidRPr="007C36BD">
        <w:rPr>
          <w:color w:val="B6BDBB"/>
          <w:lang w:val="fr-CH"/>
        </w:rPr>
        <w:t>nnexe</w:t>
      </w:r>
      <w:r w:rsidRPr="007C36BD">
        <w:rPr>
          <w:color w:val="B6BDBB"/>
          <w:lang w:val="fr-CH"/>
        </w:rPr>
        <w:t xml:space="preserve"> 1</w:t>
      </w:r>
      <w:r w:rsidRPr="007C36BD">
        <w:rPr>
          <w:lang w:val="fr-CH"/>
        </w:rPr>
        <w:t xml:space="preserve"> </w:t>
      </w:r>
      <w:r w:rsidRPr="007C36BD">
        <w:rPr>
          <w:lang w:val="fr-CH"/>
        </w:rPr>
        <w:br/>
      </w:r>
      <w:bookmarkEnd w:id="0"/>
      <w:r w:rsidR="007C36BD" w:rsidRPr="007C36BD">
        <w:rPr>
          <w:lang w:val="fr-FR"/>
        </w:rPr>
        <w:t>Tâches des responsables de la sécurité biologique et des chefs de laboratoire et de projet</w:t>
      </w:r>
    </w:p>
    <w:p w:rsidR="007C36BD" w:rsidRPr="00CB5D6C" w:rsidRDefault="007C36BD" w:rsidP="00CB5D6C">
      <w:pPr>
        <w:pStyle w:val="05BAFUFussnote"/>
        <w:spacing w:after="283" w:line="283" w:lineRule="exact"/>
        <w:rPr>
          <w:rFonts w:cs="Times New Roman"/>
          <w:i/>
          <w:color w:val="000000" w:themeColor="text1"/>
          <w:sz w:val="20"/>
        </w:rPr>
      </w:pPr>
      <w:r w:rsidRPr="00CB5D6C">
        <w:rPr>
          <w:rFonts w:cs="Times New Roman"/>
          <w:i/>
          <w:color w:val="000000" w:themeColor="text1"/>
          <w:sz w:val="20"/>
        </w:rPr>
        <w:t>La répartition des tâches indiquée ci-après est exemplaire et non exhaustive. Elle doit être adaptée en fonction des spécificités de l’entreprise. Voir aussi la Directive Responsables de la sécurité biologique (BSO) – Statut, tâches et compétences.</w:t>
      </w:r>
      <w:r w:rsidRPr="00CB5D6C">
        <w:rPr>
          <w:rStyle w:val="Funotenzeichen"/>
          <w:rFonts w:cs="Times New Roman"/>
          <w:i/>
          <w:smallCaps/>
          <w:color w:val="000000" w:themeColor="text1"/>
          <w:sz w:val="20"/>
          <w:lang w:val="fr-FR"/>
        </w:rPr>
        <w:footnoteReference w:id="1"/>
      </w:r>
    </w:p>
    <w:p w:rsidR="00CB5D6C" w:rsidRPr="00A96B9B" w:rsidRDefault="00CB5D6C" w:rsidP="00CB5D6C">
      <w:pPr>
        <w:pStyle w:val="02BAFUTitelnummeriert"/>
        <w:rPr>
          <w:lang w:val="fr-FR"/>
        </w:rPr>
      </w:pPr>
      <w:r>
        <w:rPr>
          <w:lang w:val="fr-FR"/>
        </w:rPr>
        <w:t>Tâches des responsables de la sécurité biologique</w:t>
      </w:r>
      <w:r w:rsidRPr="00A96B9B">
        <w:rPr>
          <w:lang w:val="fr-FR"/>
        </w:rPr>
        <w:t xml:space="preserve"> (BSO)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Le</w:t>
      </w:r>
      <w:r w:rsidRPr="00A96B9B">
        <w:rPr>
          <w:lang w:val="fr-FR"/>
        </w:rPr>
        <w:t xml:space="preserve"> BSO </w:t>
      </w:r>
      <w:r>
        <w:rPr>
          <w:lang w:val="fr-FR"/>
        </w:rPr>
        <w:t>suit régulièrement des cours de perfectionnement</w:t>
      </w:r>
      <w:r w:rsidRPr="00A96B9B">
        <w:rPr>
          <w:lang w:val="fr-FR"/>
        </w:rPr>
        <w:t>.</w:t>
      </w:r>
    </w:p>
    <w:p w:rsidR="00CB5D6C" w:rsidRPr="00A96B9B" w:rsidRDefault="00CB5D6C" w:rsidP="00CB5D6C">
      <w:pPr>
        <w:pStyle w:val="05BAFUGrundschriftAufzhlungletzte"/>
        <w:rPr>
          <w:lang w:val="fr-FR"/>
        </w:rPr>
      </w:pPr>
      <w:r>
        <w:rPr>
          <w:lang w:val="fr-FR"/>
        </w:rPr>
        <w:t>Le</w:t>
      </w:r>
      <w:r w:rsidRPr="00A96B9B">
        <w:rPr>
          <w:lang w:val="fr-FR"/>
        </w:rPr>
        <w:t xml:space="preserve"> BSO </w:t>
      </w:r>
      <w:r>
        <w:rPr>
          <w:lang w:val="fr-FR"/>
        </w:rPr>
        <w:t>élabore un programme de sécurité biologique pour l’entreprise au sens de l’OUC et veille à ce qu’il soit actualisé régulièrement, en particulier en ce qui concerne la liste des projets actuels.</w:t>
      </w:r>
    </w:p>
    <w:p w:rsidR="00CB5D6C" w:rsidRPr="00A96B9B" w:rsidRDefault="00CB5D6C" w:rsidP="00CB5D6C">
      <w:pPr>
        <w:pStyle w:val="05BAFUGrundschrift"/>
        <w:rPr>
          <w:lang w:val="fr-FR"/>
        </w:rPr>
      </w:pPr>
      <w:r>
        <w:rPr>
          <w:lang w:val="fr-FR"/>
        </w:rPr>
        <w:t>Le</w:t>
      </w:r>
      <w:r w:rsidRPr="00A96B9B">
        <w:rPr>
          <w:lang w:val="fr-FR"/>
        </w:rPr>
        <w:t xml:space="preserve"> BSO </w:t>
      </w:r>
      <w:r>
        <w:rPr>
          <w:lang w:val="fr-FR"/>
        </w:rPr>
        <w:t>veille</w:t>
      </w:r>
      <w:r w:rsidRPr="00A96B9B">
        <w:rPr>
          <w:rStyle w:val="Funotenzeichen"/>
          <w:lang w:val="fr-FR"/>
        </w:rPr>
        <w:footnoteReference w:id="2"/>
      </w:r>
      <w:r>
        <w:rPr>
          <w:lang w:val="fr-FR"/>
        </w:rPr>
        <w:t> :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à ce que les chefs de laboratoire et de projet respectent les principes de bonnes pratiques microbiologiques et les dispositions relatives à la sécurité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à une utilisation en toute sécurité des appareils et des méthodes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à une o</w:t>
      </w:r>
      <w:r w:rsidRPr="00A96B9B">
        <w:rPr>
          <w:lang w:val="fr-FR"/>
        </w:rPr>
        <w:t xml:space="preserve">rganisation </w:t>
      </w:r>
      <w:r>
        <w:rPr>
          <w:lang w:val="fr-FR"/>
        </w:rPr>
        <w:t xml:space="preserve">de la réglementation des accès dans laquelle seules les personnes autorisées peuvent accéder à la zone de niveau </w:t>
      </w:r>
      <w:r w:rsidRPr="00A96B9B">
        <w:rPr>
          <w:lang w:val="fr-FR"/>
        </w:rPr>
        <w:t>2</w:t>
      </w:r>
      <w:r>
        <w:rPr>
          <w:lang w:val="fr-FR"/>
        </w:rPr>
        <w:t>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au respect de la désignation correcte des locaux</w:t>
      </w:r>
      <w:r w:rsidRPr="00A96B9B">
        <w:rPr>
          <w:lang w:val="fr-FR"/>
        </w:rPr>
        <w:t xml:space="preserve"> (</w:t>
      </w:r>
      <w:r>
        <w:rPr>
          <w:lang w:val="fr-FR"/>
        </w:rPr>
        <w:t xml:space="preserve">autorisations d’accès, panneaux de risque biologique pour la zone de niveau </w:t>
      </w:r>
      <w:r w:rsidRPr="00A96B9B">
        <w:rPr>
          <w:lang w:val="fr-FR"/>
        </w:rPr>
        <w:t>2</w:t>
      </w:r>
      <w:r>
        <w:rPr>
          <w:lang w:val="fr-FR"/>
        </w:rPr>
        <w:t>,</w:t>
      </w:r>
      <w:r w:rsidRPr="00A96B9B">
        <w:rPr>
          <w:lang w:val="fr-FR"/>
        </w:rPr>
        <w:t xml:space="preserve"> etc.) </w:t>
      </w:r>
      <w:r>
        <w:rPr>
          <w:lang w:val="fr-FR"/>
        </w:rPr>
        <w:t>en fonction des travaux avec du matériel biologique qui y sont effectués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à la préparation des mesures en cas d’urgence</w:t>
      </w:r>
      <w:r w:rsidRPr="00A96B9B">
        <w:rPr>
          <w:lang w:val="fr-FR"/>
        </w:rPr>
        <w:t xml:space="preserve"> (</w:t>
      </w:r>
      <w:r>
        <w:rPr>
          <w:lang w:val="fr-FR"/>
        </w:rPr>
        <w:t>plan d’urgence)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au contrôle du respect des mesures du sécurité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 xml:space="preserve">à faire connaître les directives relatives à l’élimination correcte déchets microbiologiques ; 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à faire connaître les directives relatives à l’envoi et au transport de matériel biologique auprès des personnes qui sont chargées d’effectuer cette tâche ;</w:t>
      </w:r>
    </w:p>
    <w:p w:rsidR="00CB5D6C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à assurer la coordination avec d’autres domaines de la sécurité (biosûreté p. ex.)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à ce que les chefs de laboratoire et les chefs de projet</w:t>
      </w:r>
      <w:r w:rsidRPr="00A96B9B">
        <w:rPr>
          <w:lang w:val="fr-FR"/>
        </w:rPr>
        <w:t xml:space="preserve">, </w:t>
      </w:r>
      <w:r>
        <w:rPr>
          <w:lang w:val="fr-FR"/>
        </w:rPr>
        <w:t>remettent les notifications et les demandes d’autorisation au Bureau de biotechnologie de la Confédération ; le</w:t>
      </w:r>
      <w:r w:rsidRPr="00A96B9B">
        <w:rPr>
          <w:lang w:val="fr-FR"/>
        </w:rPr>
        <w:t xml:space="preserve"> BSO </w:t>
      </w:r>
      <w:r>
        <w:rPr>
          <w:lang w:val="fr-FR"/>
        </w:rPr>
        <w:t>les aide dans cette démarche ;</w:t>
      </w:r>
    </w:p>
    <w:p w:rsidR="00CB5D6C" w:rsidRDefault="00CB5D6C" w:rsidP="00CB5D6C">
      <w:pPr>
        <w:pStyle w:val="05BAFUGrundschriftAufzhlungletzte"/>
        <w:rPr>
          <w:lang w:val="fr-FR"/>
        </w:rPr>
      </w:pPr>
      <w:r>
        <w:rPr>
          <w:lang w:val="fr-FR"/>
        </w:rPr>
        <w:t>à ce que la documentation relative à son domaine de compétence parvienne aux autorités (notamment avec les documents relatifs à la notification ou à la demande d’autorisation</w:t>
      </w:r>
      <w:r w:rsidRPr="00A96B9B">
        <w:rPr>
          <w:lang w:val="fr-FR"/>
        </w:rPr>
        <w:t xml:space="preserve">). </w:t>
      </w:r>
      <w:r>
        <w:rPr>
          <w:lang w:val="fr-FR"/>
        </w:rPr>
        <w:t xml:space="preserve">Ces informations comprennent les </w:t>
      </w:r>
      <w:r w:rsidRPr="00E716E9">
        <w:rPr>
          <w:lang w:val="fr-FR"/>
        </w:rPr>
        <w:t>type</w:t>
      </w:r>
      <w:r>
        <w:rPr>
          <w:lang w:val="fr-FR"/>
        </w:rPr>
        <w:t>s</w:t>
      </w:r>
      <w:r w:rsidRPr="00E716E9">
        <w:rPr>
          <w:lang w:val="fr-FR"/>
        </w:rPr>
        <w:t xml:space="preserve"> d’activité</w:t>
      </w:r>
      <w:r>
        <w:rPr>
          <w:lang w:val="fr-FR"/>
        </w:rPr>
        <w:t>s</w:t>
      </w:r>
      <w:r w:rsidRPr="00E716E9">
        <w:rPr>
          <w:lang w:val="fr-FR"/>
        </w:rPr>
        <w:t xml:space="preserve"> et d’organisme</w:t>
      </w:r>
      <w:r>
        <w:rPr>
          <w:lang w:val="fr-FR"/>
        </w:rPr>
        <w:t>s</w:t>
      </w:r>
      <w:r w:rsidRPr="00E716E9">
        <w:rPr>
          <w:lang w:val="fr-FR"/>
        </w:rPr>
        <w:t>,</w:t>
      </w:r>
      <w:r>
        <w:rPr>
          <w:lang w:val="fr-FR"/>
        </w:rPr>
        <w:t xml:space="preserve"> le </w:t>
      </w:r>
      <w:r w:rsidRPr="00E716E9">
        <w:rPr>
          <w:lang w:val="fr-FR"/>
        </w:rPr>
        <w:t xml:space="preserve">nombre de personnes exposées, les noms des chefs de projets, les noms </w:t>
      </w:r>
      <w:r w:rsidRPr="00E716E9">
        <w:rPr>
          <w:lang w:val="fr-FR"/>
        </w:rPr>
        <w:lastRenderedPageBreak/>
        <w:t xml:space="preserve">des médecins du travail et des autres spécialistes de la sécurité et de la santé au </w:t>
      </w:r>
      <w:r>
        <w:rPr>
          <w:lang w:val="fr-FR"/>
        </w:rPr>
        <w:t>travail (SST) ainsi que les mesures de protection nécessaires et le plan d’urgence.</w:t>
      </w:r>
    </w:p>
    <w:p w:rsidR="00CB5D6C" w:rsidRDefault="00CB5D6C" w:rsidP="00CB5D6C">
      <w:pPr>
        <w:pStyle w:val="02BAFUTitelnummeriert"/>
        <w:rPr>
          <w:lang w:val="fr-FR"/>
        </w:rPr>
      </w:pPr>
      <w:r>
        <w:rPr>
          <w:lang w:val="fr-FR"/>
        </w:rPr>
        <w:t>Tâches et compétences des chefs de laboratoire et de projet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Les chefs de laboratoire et les chefs de projet sont responsables :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du respect, par le personnel du laboratoire, des dispositions de sécurité et des principes de bonnes pratiques microbiologiques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de l’élimination correcte des déchets microbiologiques ;</w:t>
      </w:r>
    </w:p>
    <w:p w:rsidR="00CB5D6C" w:rsidRPr="00CB5D6C" w:rsidRDefault="00CB5D6C" w:rsidP="00CB5D6C">
      <w:pPr>
        <w:pStyle w:val="05BAFUGrundschriftAufzhlung"/>
        <w:rPr>
          <w:lang w:val="fr-CH"/>
        </w:rPr>
      </w:pPr>
      <w:r>
        <w:rPr>
          <w:lang w:val="fr-FR"/>
        </w:rPr>
        <w:t>de l’élaboration, de l’actualisation et de la mise en œuvre des directives internes à l’entreprise qui garantissent, avec les procédures de travail et les règles de comportement, la sécurité environnementale et du travail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de l’o</w:t>
      </w:r>
      <w:r w:rsidRPr="00A96B9B">
        <w:rPr>
          <w:lang w:val="fr-FR"/>
        </w:rPr>
        <w:t xml:space="preserve">rganisation </w:t>
      </w:r>
      <w:r>
        <w:rPr>
          <w:lang w:val="fr-FR"/>
        </w:rPr>
        <w:t>et du contrôle de la surveillance de la santé au sens des art. 13 et 14 de l’OPTM ;</w:t>
      </w:r>
    </w:p>
    <w:p w:rsidR="00CB5D6C" w:rsidRPr="00CB5D6C" w:rsidRDefault="00CB5D6C" w:rsidP="00CB5D6C">
      <w:pPr>
        <w:pStyle w:val="05BAFUGrundschriftAufzhlung"/>
        <w:rPr>
          <w:lang w:val="fr-CH"/>
        </w:rPr>
      </w:pPr>
      <w:r>
        <w:rPr>
          <w:lang w:val="fr-FR"/>
        </w:rPr>
        <w:t>de la remise des notifications et des demandes d’autorisation au Bureau de biotechnologie de la Confédération ainsi qu’au BSO ;</w:t>
      </w:r>
    </w:p>
    <w:p w:rsidR="00CB5D6C" w:rsidRPr="00B1026B" w:rsidRDefault="00CB5D6C" w:rsidP="00CB5D6C">
      <w:pPr>
        <w:pStyle w:val="05BAFUGrundschriftAufzhlungletzte"/>
        <w:rPr>
          <w:lang w:val="fr-FR"/>
        </w:rPr>
      </w:pPr>
      <w:r w:rsidRPr="00B1026B">
        <w:rPr>
          <w:lang w:val="fr-FR"/>
        </w:rPr>
        <w:t xml:space="preserve">de la consignation </w:t>
      </w:r>
      <w:r>
        <w:rPr>
          <w:lang w:val="fr-FR"/>
        </w:rPr>
        <w:t xml:space="preserve">par écrit </w:t>
      </w:r>
      <w:r w:rsidRPr="00B1026B">
        <w:rPr>
          <w:lang w:val="fr-FR"/>
        </w:rPr>
        <w:t>de toute activité</w:t>
      </w:r>
      <w:r>
        <w:rPr>
          <w:lang w:val="fr-FR"/>
        </w:rPr>
        <w:t xml:space="preserve"> </w:t>
      </w:r>
      <w:r w:rsidRPr="00B1026B">
        <w:rPr>
          <w:lang w:val="fr-FR"/>
        </w:rPr>
        <w:t>impliquant des organismes généti</w:t>
      </w:r>
      <w:r>
        <w:rPr>
          <w:lang w:val="fr-FR"/>
        </w:rPr>
        <w:t>q</w:t>
      </w:r>
      <w:r w:rsidRPr="00B1026B">
        <w:rPr>
          <w:lang w:val="fr-FR"/>
        </w:rPr>
        <w:t>uement modifiés ou pathogènes.</w:t>
      </w:r>
    </w:p>
    <w:p w:rsidR="00CB5D6C" w:rsidRPr="00A96B9B" w:rsidRDefault="00CB5D6C" w:rsidP="00CB5D6C">
      <w:pPr>
        <w:pStyle w:val="05BAFUGrundschrift"/>
        <w:rPr>
          <w:lang w:val="fr-FR"/>
        </w:rPr>
      </w:pPr>
      <w:r>
        <w:rPr>
          <w:lang w:val="fr-FR"/>
        </w:rPr>
        <w:t>Les chefs de laboratoire et les chefs de projet :</w:t>
      </w:r>
      <w:r w:rsidRPr="00A96B9B">
        <w:rPr>
          <w:lang w:val="fr-FR"/>
        </w:rPr>
        <w:t xml:space="preserve"> 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 xml:space="preserve">veillent à ce que les collaborateurs reçoivent une formation et une instruction en rapport avec leur travail en ce qui concerne la sécurité lors de l’utilisation de matériel biologique </w:t>
      </w:r>
      <w:r w:rsidRPr="00A96B9B">
        <w:rPr>
          <w:lang w:val="fr-FR"/>
        </w:rPr>
        <w:t>(</w:t>
      </w:r>
      <w:r>
        <w:rPr>
          <w:lang w:val="fr-FR"/>
        </w:rPr>
        <w:t>au moins une fois par an</w:t>
      </w:r>
      <w:r w:rsidRPr="00A96B9B">
        <w:rPr>
          <w:lang w:val="fr-FR"/>
        </w:rPr>
        <w:t xml:space="preserve">) </w:t>
      </w:r>
      <w:r>
        <w:rPr>
          <w:lang w:val="fr-FR"/>
        </w:rPr>
        <w:t>et les informent – éventuellement en collaboration avec le</w:t>
      </w:r>
      <w:r w:rsidRPr="00A96B9B">
        <w:rPr>
          <w:lang w:val="fr-FR"/>
        </w:rPr>
        <w:t xml:space="preserve"> BSO – </w:t>
      </w:r>
      <w:r>
        <w:rPr>
          <w:lang w:val="fr-FR"/>
        </w:rPr>
        <w:t>des dangers, des mesures de protection nécessaires ainsi que des incidents et des accidents</w:t>
      </w:r>
      <w:r w:rsidRPr="00A96B9B">
        <w:rPr>
          <w:lang w:val="fr-FR"/>
        </w:rPr>
        <w:t xml:space="preserve"> (</w:t>
      </w:r>
      <w:r>
        <w:rPr>
          <w:lang w:val="fr-FR"/>
        </w:rPr>
        <w:t>a</w:t>
      </w:r>
      <w:r w:rsidRPr="00A96B9B">
        <w:rPr>
          <w:lang w:val="fr-FR"/>
        </w:rPr>
        <w:t>rt. 12</w:t>
      </w:r>
      <w:r>
        <w:rPr>
          <w:lang w:val="fr-FR"/>
        </w:rPr>
        <w:t xml:space="preserve"> OPTM</w:t>
      </w:r>
      <w:r w:rsidRPr="00A96B9B">
        <w:rPr>
          <w:lang w:val="fr-FR"/>
        </w:rPr>
        <w:t>)</w:t>
      </w:r>
      <w:r>
        <w:rPr>
          <w:lang w:val="fr-FR"/>
        </w:rPr>
        <w:t>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 xml:space="preserve">veillent à ce que des équipements de protection adéquats soient disponibles et s’assurent </w:t>
      </w:r>
      <w:r w:rsidRPr="00A96B9B">
        <w:rPr>
          <w:lang w:val="fr-FR"/>
        </w:rPr>
        <w:t xml:space="preserve">– </w:t>
      </w:r>
      <w:r>
        <w:rPr>
          <w:lang w:val="fr-FR"/>
        </w:rPr>
        <w:t>si nécessaire</w:t>
      </w:r>
      <w:r w:rsidRPr="00A96B9B">
        <w:rPr>
          <w:lang w:val="fr-FR"/>
        </w:rPr>
        <w:t xml:space="preserve"> – </w:t>
      </w:r>
      <w:r>
        <w:rPr>
          <w:lang w:val="fr-FR"/>
        </w:rPr>
        <w:t>que des règles ont été définies pour leur entretien et leur nettoyage ;</w:t>
      </w:r>
    </w:p>
    <w:p w:rsidR="00CB5D6C" w:rsidRPr="00A96B9B" w:rsidRDefault="00CB5D6C" w:rsidP="00CB5D6C">
      <w:pPr>
        <w:pStyle w:val="05BAFUGrundschriftAufzhlung"/>
        <w:rPr>
          <w:color w:val="008000"/>
          <w:lang w:val="fr-FR"/>
        </w:rPr>
      </w:pPr>
      <w:r>
        <w:rPr>
          <w:lang w:val="fr-FR"/>
        </w:rPr>
        <w:t>veillent à l’élimination correcte des déchets microbiologiques ;</w:t>
      </w:r>
    </w:p>
    <w:p w:rsidR="00CB5D6C" w:rsidRPr="00A96B9B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veillent, en ce qui concerne le nettoyage zones définies, à donner les instructions nécessaires au service de nettoyage si celui-ci est mandaté pour le faire ;</w:t>
      </w:r>
      <w:r w:rsidRPr="00A96B9B">
        <w:rPr>
          <w:lang w:val="fr-FR"/>
        </w:rPr>
        <w:t xml:space="preserve"> </w:t>
      </w:r>
    </w:p>
    <w:p w:rsidR="00CB5D6C" w:rsidRDefault="00CB5D6C" w:rsidP="00CB5D6C">
      <w:pPr>
        <w:pStyle w:val="05BAFUGrundschriftAufzhlung"/>
        <w:rPr>
          <w:lang w:val="fr-FR"/>
        </w:rPr>
      </w:pPr>
      <w:r>
        <w:rPr>
          <w:lang w:val="fr-FR"/>
        </w:rPr>
        <w:t>tiennent, au sens de l’art</w:t>
      </w:r>
      <w:r w:rsidRPr="00A96B9B">
        <w:rPr>
          <w:lang w:val="fr-FR"/>
        </w:rPr>
        <w:t>.</w:t>
      </w:r>
      <w:r>
        <w:rPr>
          <w:lang w:val="fr-FR"/>
        </w:rPr>
        <w:t xml:space="preserve"> </w:t>
      </w:r>
      <w:r w:rsidRPr="00A96B9B">
        <w:rPr>
          <w:lang w:val="fr-FR"/>
        </w:rPr>
        <w:t>1</w:t>
      </w:r>
      <w:r>
        <w:rPr>
          <w:lang w:val="fr-FR"/>
        </w:rPr>
        <w:t>3</w:t>
      </w:r>
      <w:r w:rsidRPr="00A96B9B">
        <w:rPr>
          <w:lang w:val="fr-FR"/>
        </w:rPr>
        <w:t xml:space="preserve"> </w:t>
      </w:r>
      <w:r>
        <w:rPr>
          <w:lang w:val="fr-FR"/>
        </w:rPr>
        <w:t>de l’OPTM, une liste des collaborateurs affectés spécifiquement à chaque projet</w:t>
      </w:r>
      <w:r w:rsidRPr="00A96B9B">
        <w:rPr>
          <w:lang w:val="fr-FR"/>
        </w:rPr>
        <w:t xml:space="preserve">. </w:t>
      </w:r>
      <w:r w:rsidRPr="00C146B1">
        <w:rPr>
          <w:lang w:val="fr-FR"/>
        </w:rPr>
        <w:t xml:space="preserve">Cette liste </w:t>
      </w:r>
      <w:r>
        <w:rPr>
          <w:lang w:val="fr-FR"/>
        </w:rPr>
        <w:t>mentionne :</w:t>
      </w:r>
      <w:r w:rsidRPr="00C146B1">
        <w:rPr>
          <w:lang w:val="fr-FR"/>
        </w:rPr>
        <w:t xml:space="preserve"> le</w:t>
      </w:r>
      <w:r>
        <w:rPr>
          <w:lang w:val="fr-FR"/>
        </w:rPr>
        <w:t>s</w:t>
      </w:r>
      <w:r w:rsidRPr="00C146B1">
        <w:rPr>
          <w:lang w:val="fr-FR"/>
        </w:rPr>
        <w:t xml:space="preserve"> type</w:t>
      </w:r>
      <w:r>
        <w:rPr>
          <w:lang w:val="fr-FR"/>
        </w:rPr>
        <w:t>s</w:t>
      </w:r>
      <w:r w:rsidRPr="00C146B1">
        <w:rPr>
          <w:lang w:val="fr-FR"/>
        </w:rPr>
        <w:t xml:space="preserve"> d’activité</w:t>
      </w:r>
      <w:r>
        <w:rPr>
          <w:lang w:val="fr-FR"/>
        </w:rPr>
        <w:t>s</w:t>
      </w:r>
      <w:r w:rsidRPr="00C146B1">
        <w:rPr>
          <w:lang w:val="fr-FR"/>
        </w:rPr>
        <w:t>, le</w:t>
      </w:r>
      <w:r>
        <w:rPr>
          <w:lang w:val="fr-FR"/>
        </w:rPr>
        <w:t>s</w:t>
      </w:r>
      <w:r w:rsidRPr="00C146B1">
        <w:rPr>
          <w:lang w:val="fr-FR"/>
        </w:rPr>
        <w:t xml:space="preserve"> type</w:t>
      </w:r>
      <w:r>
        <w:rPr>
          <w:lang w:val="fr-FR"/>
        </w:rPr>
        <w:t>s</w:t>
      </w:r>
      <w:r w:rsidRPr="00C146B1">
        <w:rPr>
          <w:lang w:val="fr-FR"/>
        </w:rPr>
        <w:t xml:space="preserve"> d’organisme</w:t>
      </w:r>
      <w:r>
        <w:rPr>
          <w:lang w:val="fr-FR"/>
        </w:rPr>
        <w:t>s</w:t>
      </w:r>
      <w:r w:rsidRPr="00C146B1">
        <w:rPr>
          <w:lang w:val="fr-FR"/>
        </w:rPr>
        <w:t xml:space="preserve"> utilisé</w:t>
      </w:r>
      <w:r>
        <w:rPr>
          <w:lang w:val="fr-FR"/>
        </w:rPr>
        <w:t>s</w:t>
      </w:r>
      <w:r w:rsidRPr="00C146B1">
        <w:rPr>
          <w:lang w:val="fr-FR"/>
        </w:rPr>
        <w:t>, le nombre de personnes exposées,</w:t>
      </w:r>
      <w:r>
        <w:rPr>
          <w:lang w:val="fr-FR"/>
        </w:rPr>
        <w:t xml:space="preserve"> les </w:t>
      </w:r>
      <w:r w:rsidRPr="00C146B1">
        <w:rPr>
          <w:lang w:val="fr-FR"/>
        </w:rPr>
        <w:t>nom</w:t>
      </w:r>
      <w:r>
        <w:rPr>
          <w:lang w:val="fr-FR"/>
        </w:rPr>
        <w:t>s</w:t>
      </w:r>
      <w:r w:rsidRPr="00C146B1">
        <w:rPr>
          <w:lang w:val="fr-FR"/>
        </w:rPr>
        <w:t xml:space="preserve"> des personnes travaillant avec des organismes du groupe 2</w:t>
      </w:r>
      <w:r>
        <w:rPr>
          <w:lang w:val="fr-FR"/>
        </w:rPr>
        <w:t>, ainsi que</w:t>
      </w:r>
      <w:r w:rsidRPr="00C146B1">
        <w:rPr>
          <w:lang w:val="fr-FR"/>
        </w:rPr>
        <w:t xml:space="preserve"> l</w:t>
      </w:r>
      <w:r>
        <w:rPr>
          <w:lang w:val="fr-FR"/>
        </w:rPr>
        <w:t>e</w:t>
      </w:r>
      <w:r w:rsidRPr="00C146B1">
        <w:rPr>
          <w:lang w:val="fr-FR"/>
        </w:rPr>
        <w:t xml:space="preserve">s accidents et les incidents </w:t>
      </w:r>
      <w:r>
        <w:rPr>
          <w:lang w:val="fr-FR"/>
        </w:rPr>
        <w:t>qui se sont produits ;</w:t>
      </w:r>
    </w:p>
    <w:p w:rsidR="00CB5D6C" w:rsidRPr="003F1445" w:rsidRDefault="00CB5D6C" w:rsidP="00CB5D6C">
      <w:pPr>
        <w:pStyle w:val="05BAFUGrundschriftAufzhlung"/>
        <w:rPr>
          <w:u w:val="single"/>
          <w:lang w:val="fr-FR"/>
        </w:rPr>
      </w:pPr>
      <w:r>
        <w:rPr>
          <w:lang w:val="fr-FR"/>
        </w:rPr>
        <w:t>font établir, au sens de l’art</w:t>
      </w:r>
      <w:r w:rsidRPr="00A96B9B">
        <w:rPr>
          <w:lang w:val="fr-FR"/>
        </w:rPr>
        <w:t>.</w:t>
      </w:r>
      <w:r>
        <w:rPr>
          <w:lang w:val="fr-FR"/>
        </w:rPr>
        <w:t xml:space="preserve"> </w:t>
      </w:r>
      <w:r w:rsidRPr="00A96B9B">
        <w:rPr>
          <w:lang w:val="fr-FR"/>
        </w:rPr>
        <w:t xml:space="preserve">14 </w:t>
      </w:r>
      <w:r>
        <w:rPr>
          <w:lang w:val="fr-FR"/>
        </w:rPr>
        <w:t>de l’OPTM, pour tous les travailleurs « </w:t>
      </w:r>
      <w:r w:rsidRPr="003F1445">
        <w:rPr>
          <w:lang w:val="fr-FR"/>
        </w:rPr>
        <w:t>nécessitant des mesures</w:t>
      </w:r>
      <w:r>
        <w:rPr>
          <w:lang w:val="fr-FR"/>
        </w:rPr>
        <w:t xml:space="preserve"> </w:t>
      </w:r>
      <w:bookmarkStart w:id="1" w:name="_GoBack"/>
      <w:r w:rsidRPr="00B46B13">
        <w:rPr>
          <w:b/>
          <w:lang w:val="fr-FR"/>
        </w:rPr>
        <w:t>spéciales</w:t>
      </w:r>
      <w:bookmarkEnd w:id="1"/>
      <w:r>
        <w:rPr>
          <w:lang w:val="fr-FR"/>
        </w:rPr>
        <w:t xml:space="preserve"> de</w:t>
      </w:r>
      <w:r w:rsidRPr="003F1445">
        <w:rPr>
          <w:lang w:val="fr-FR"/>
        </w:rPr>
        <w:t xml:space="preserve"> protection relevant de la médecine du travail</w:t>
      </w:r>
      <w:r>
        <w:rPr>
          <w:lang w:val="fr-FR"/>
        </w:rPr>
        <w:t> »</w:t>
      </w:r>
      <w:r w:rsidRPr="003F1445">
        <w:rPr>
          <w:lang w:val="fr-FR"/>
        </w:rPr>
        <w:t>, un dossier</w:t>
      </w:r>
      <w:r>
        <w:rPr>
          <w:lang w:val="fr-FR"/>
        </w:rPr>
        <w:t xml:space="preserve"> par « le </w:t>
      </w:r>
      <w:r w:rsidRPr="003F1445">
        <w:rPr>
          <w:lang w:val="fr-FR"/>
        </w:rPr>
        <w:t>médecin du travail auquel</w:t>
      </w:r>
      <w:r>
        <w:rPr>
          <w:lang w:val="fr-FR"/>
        </w:rPr>
        <w:t xml:space="preserve"> </w:t>
      </w:r>
      <w:r w:rsidRPr="003F1445">
        <w:rPr>
          <w:lang w:val="fr-FR"/>
        </w:rPr>
        <w:t>il a été fait appel, le médecin d’entreprise ou un médecin-conseil</w:t>
      </w:r>
      <w:r>
        <w:rPr>
          <w:lang w:val="fr-FR"/>
        </w:rPr>
        <w:t> » ;</w:t>
      </w:r>
    </w:p>
    <w:p w:rsidR="00CB5D6C" w:rsidRDefault="00CB5D6C" w:rsidP="00CB5D6C">
      <w:pPr>
        <w:pStyle w:val="05BAFUGrundschriftAufzhlung"/>
        <w:rPr>
          <w:lang w:val="fr-FR"/>
        </w:rPr>
      </w:pPr>
      <w:r w:rsidRPr="003F1445">
        <w:rPr>
          <w:lang w:val="fr-FR"/>
        </w:rPr>
        <w:t>veillent au respect des directives internes</w:t>
      </w:r>
      <w:r>
        <w:rPr>
          <w:lang w:val="fr-FR"/>
        </w:rPr>
        <w:t xml:space="preserve"> </w:t>
      </w:r>
      <w:r w:rsidRPr="003F1445">
        <w:rPr>
          <w:lang w:val="fr-FR"/>
        </w:rPr>
        <w:t>à l’entreprise lors de l’envo</w:t>
      </w:r>
      <w:r>
        <w:rPr>
          <w:lang w:val="fr-FR"/>
        </w:rPr>
        <w:t>i ou du transport de matériel b</w:t>
      </w:r>
      <w:r w:rsidRPr="003F1445">
        <w:rPr>
          <w:lang w:val="fr-FR"/>
        </w:rPr>
        <w:t>iologique</w:t>
      </w:r>
      <w:r>
        <w:rPr>
          <w:lang w:val="fr-FR"/>
        </w:rPr>
        <w:t>.</w:t>
      </w:r>
    </w:p>
    <w:p w:rsidR="00CB5D6C" w:rsidRDefault="00CB5D6C" w:rsidP="00CB5D6C">
      <w:pPr>
        <w:spacing w:before="80" w:after="120"/>
        <w:ind w:left="340" w:hanging="340"/>
        <w:rPr>
          <w:lang w:val="fr-FR"/>
        </w:rPr>
      </w:pPr>
    </w:p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CB5D6C" w:rsidRDefault="00CB5D6C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CB5D6C" w:rsidRDefault="00CB5D6C" w:rsidP="00942F12">
      <w:pPr>
        <w:pStyle w:val="05BAFUGrundschriftAufzhlung"/>
        <w:numPr>
          <w:ilvl w:val="0"/>
          <w:numId w:val="0"/>
        </w:numPr>
        <w:ind w:left="198" w:hanging="198"/>
      </w:pPr>
    </w:p>
    <w:p w:rsidR="00155E13" w:rsidRDefault="00155E13" w:rsidP="00826F8A">
      <w:pPr>
        <w:pStyle w:val="05BAFUGrundschriftAufzhlung"/>
        <w:numPr>
          <w:ilvl w:val="0"/>
          <w:numId w:val="0"/>
        </w:numPr>
      </w:pPr>
    </w:p>
    <w:tbl>
      <w:tblPr>
        <w:tblStyle w:val="Gitternetztabelle2"/>
        <w:tblW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081655" w:rsidTr="005C26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081655" w:rsidRDefault="00CB5D6C">
            <w:pPr>
              <w:pStyle w:val="07BAFUTabellelinks"/>
            </w:pPr>
            <w:proofErr w:type="spellStart"/>
            <w:r w:rsidRPr="00EF0BB3">
              <w:rPr>
                <w:color w:val="6C9051" w:themeColor="accent2" w:themeShade="BF"/>
              </w:rPr>
              <w:t>Redige</w:t>
            </w:r>
            <w:proofErr w:type="spellEnd"/>
            <w:r w:rsidRPr="00EF0BB3">
              <w:rPr>
                <w:color w:val="6C9051" w:themeColor="accent2" w:themeShade="BF"/>
              </w:rPr>
              <w:t>/</w:t>
            </w:r>
            <w:proofErr w:type="spellStart"/>
            <w:r w:rsidRPr="00EF0BB3">
              <w:rPr>
                <w:color w:val="6C9051" w:themeColor="accent2" w:themeShade="BF"/>
              </w:rPr>
              <w:t>Approuve</w:t>
            </w:r>
            <w:proofErr w:type="spellEnd"/>
            <w:r w:rsidRPr="00EF0BB3">
              <w:rPr>
                <w:color w:val="6C9051" w:themeColor="accent2" w:themeShade="BF"/>
              </w:rPr>
              <w:t xml:space="preserve"> par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081655" w:rsidRDefault="00081655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1655" w:rsidTr="005C26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081655" w:rsidRDefault="00CB5D6C">
            <w:pPr>
              <w:pStyle w:val="07BAFUTabellelinks"/>
            </w:pPr>
            <w:r w:rsidRPr="00EF0BB3">
              <w:rPr>
                <w:color w:val="6C9051" w:themeColor="accent2" w:themeShade="BF"/>
              </w:rPr>
              <w:t>Date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081655" w:rsidRDefault="00081655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42F12" w:rsidRPr="004E03D2" w:rsidRDefault="00942F12" w:rsidP="00155E13">
      <w:pPr>
        <w:pStyle w:val="05BAFUGrundschriftAufzhlung"/>
        <w:numPr>
          <w:ilvl w:val="0"/>
          <w:numId w:val="0"/>
        </w:numPr>
      </w:pPr>
    </w:p>
    <w:sectPr w:rsidR="00942F12" w:rsidRPr="004E03D2" w:rsidSect="004E03D2">
      <w:headerReference w:type="default" r:id="rId8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215" w:rsidRDefault="00273215" w:rsidP="00DE38F1">
      <w:pPr>
        <w:spacing w:after="0" w:line="240" w:lineRule="auto"/>
      </w:pPr>
      <w:r>
        <w:separator/>
      </w:r>
    </w:p>
  </w:endnote>
  <w:endnote w:type="continuationSeparator" w:id="0">
    <w:p w:rsidR="00273215" w:rsidRDefault="00273215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modern"/>
    <w:notTrueType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215" w:rsidRDefault="00273215" w:rsidP="00DE38F1">
      <w:pPr>
        <w:spacing w:after="0" w:line="240" w:lineRule="auto"/>
      </w:pPr>
    </w:p>
  </w:footnote>
  <w:footnote w:type="continuationSeparator" w:id="0">
    <w:p w:rsidR="00273215" w:rsidRDefault="00273215" w:rsidP="00DE38F1">
      <w:pPr>
        <w:spacing w:after="0" w:line="240" w:lineRule="auto"/>
      </w:pPr>
      <w:r>
        <w:continuationSeparator/>
      </w:r>
    </w:p>
  </w:footnote>
  <w:footnote w:id="1">
    <w:p w:rsidR="007C36BD" w:rsidRPr="00CB5D6C" w:rsidRDefault="007C36BD" w:rsidP="00CB5D6C">
      <w:pPr>
        <w:pStyle w:val="05BAFUFussnote"/>
        <w:rPr>
          <w:color w:val="0000FF"/>
          <w:u w:val="single"/>
          <w:lang w:val="fr-CH"/>
        </w:rPr>
      </w:pPr>
      <w:r>
        <w:rPr>
          <w:rStyle w:val="Funotenzeichen"/>
        </w:rPr>
        <w:footnoteRef/>
      </w:r>
      <w:r w:rsidR="00CB5D6C" w:rsidRPr="00CB5D6C">
        <w:rPr>
          <w:lang w:val="fr-CH"/>
        </w:rPr>
        <w:t xml:space="preserve"> </w:t>
      </w:r>
      <w:r w:rsidRPr="00CB5D6C">
        <w:rPr>
          <w:rFonts w:cs="Helvetica"/>
          <w:lang w:val="fr-CH"/>
        </w:rPr>
        <w:t>E</w:t>
      </w:r>
      <w:r w:rsidRPr="00CB5D6C">
        <w:rPr>
          <w:lang w:val="fr-CH"/>
        </w:rPr>
        <w:t xml:space="preserve">d. : Office fédéral de l’environnement, des forêts et du paysage (OFEFP), 2005 ; </w:t>
      </w:r>
      <w:r w:rsidRPr="00CB5D6C">
        <w:rPr>
          <w:lang w:val="fr-CH"/>
        </w:rPr>
        <w:br/>
        <w:t xml:space="preserve">Source : </w:t>
      </w:r>
      <w:hyperlink r:id="rId1" w:history="1">
        <w:r w:rsidRPr="007C36BD">
          <w:rPr>
            <w:rStyle w:val="Hyperlink"/>
            <w:lang w:val="fr-CH"/>
          </w:rPr>
          <w:t>http://www.bafu.admin.ch</w:t>
        </w:r>
      </w:hyperlink>
      <w:r w:rsidRPr="007C36BD">
        <w:rPr>
          <w:lang w:val="fr-CH"/>
        </w:rPr>
        <w:t xml:space="preserve"> </w:t>
      </w:r>
      <w:r w:rsidRPr="00CB5D6C">
        <w:rPr>
          <w:lang w:val="fr-CH"/>
        </w:rPr>
        <w:t>»</w:t>
      </w:r>
      <w:r w:rsidRPr="00907453">
        <w:rPr>
          <w:lang w:val="fr-CH"/>
        </w:rPr>
        <w:t xml:space="preserve"> Thèmes</w:t>
      </w:r>
      <w:r w:rsidRPr="00CB5D6C">
        <w:rPr>
          <w:lang w:val="fr-CH"/>
        </w:rPr>
        <w:t xml:space="preserve"> » </w:t>
      </w:r>
      <w:hyperlink r:id="rId2" w:history="1">
        <w:r w:rsidRPr="00CB5D6C">
          <w:rPr>
            <w:lang w:val="fr-CH"/>
          </w:rPr>
          <w:t>Biotechnologie</w:t>
        </w:r>
      </w:hyperlink>
      <w:r w:rsidRPr="00CB5D6C">
        <w:rPr>
          <w:lang w:val="fr-CH"/>
        </w:rPr>
        <w:t xml:space="preserve"> » Aides à l’exécution </w:t>
      </w:r>
      <w:r w:rsidRPr="00CB5D6C">
        <w:rPr>
          <w:lang w:val="fr-CH"/>
        </w:rPr>
        <w:br/>
        <w:t xml:space="preserve">ou lien direct : </w:t>
      </w:r>
      <w:r w:rsidRPr="00A53829">
        <w:rPr>
          <w:i/>
          <w:lang w:val="fr-CH"/>
        </w:rPr>
        <w:t>https://www.bafu.admin.ch/bafu/fr/home/themes/biotechnologie/publications-etudes/publications/responsables-securite-biologique-bso.html</w:t>
      </w:r>
    </w:p>
  </w:footnote>
  <w:footnote w:id="2">
    <w:p w:rsidR="00CB5D6C" w:rsidRPr="00CB5D6C" w:rsidRDefault="00CB5D6C" w:rsidP="00CB5D6C">
      <w:pPr>
        <w:pStyle w:val="05BAFUFussnote"/>
        <w:rPr>
          <w:color w:val="000000"/>
          <w:lang w:val="fr-CH"/>
        </w:rPr>
      </w:pPr>
      <w:r w:rsidRPr="005E3836">
        <w:rPr>
          <w:rStyle w:val="Funotenzeichen"/>
          <w:lang w:val="fr-FR"/>
        </w:rPr>
        <w:footnoteRef/>
      </w:r>
      <w:r w:rsidRPr="00CB5D6C">
        <w:rPr>
          <w:lang w:val="fr-CH"/>
        </w:rPr>
        <w:t xml:space="preserve"> </w:t>
      </w:r>
      <w:proofErr w:type="gramStart"/>
      <w:r w:rsidRPr="00CB5D6C">
        <w:rPr>
          <w:lang w:val="fr-CH"/>
        </w:rPr>
        <w:t>veille</w:t>
      </w:r>
      <w:proofErr w:type="gramEnd"/>
      <w:r w:rsidRPr="00CB5D6C">
        <w:rPr>
          <w:lang w:val="fr-CH"/>
        </w:rPr>
        <w:t xml:space="preserve"> (a la charge de, s’occupe de), dans le sens d’une compétence supérieure ou d’une responsabilité directe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A27DC5" w:rsidRDefault="008263A1" w:rsidP="00A27DC5">
    <w:pPr>
      <w:pStyle w:val="99BAFUKopfzeileGrau"/>
      <w:rPr>
        <w:lang w:val="fr-CH"/>
      </w:rPr>
    </w:pPr>
    <w:r w:rsidRPr="00A27DC5">
      <w:rPr>
        <w:noProof/>
        <w:lang w:val="fr-CH"/>
      </w:rPr>
      <w:t>A</w:t>
    </w:r>
    <w:r w:rsidR="00A27DC5" w:rsidRPr="00A27DC5">
      <w:rPr>
        <w:noProof/>
        <w:lang w:val="fr-CH"/>
      </w:rPr>
      <w:t>nnexe</w:t>
    </w:r>
    <w:r w:rsidRPr="00A27DC5">
      <w:rPr>
        <w:noProof/>
        <w:lang w:val="fr-CH"/>
      </w:rPr>
      <w:t xml:space="preserve"> 1</w:t>
    </w:r>
    <w:r w:rsidR="00123F12" w:rsidRPr="00A27DC5">
      <w:rPr>
        <w:noProof/>
        <w:lang w:val="fr-CH"/>
      </w:rPr>
      <w:t>.</w:t>
    </w:r>
    <w:r w:rsidRPr="00A27DC5">
      <w:rPr>
        <w:noProof/>
        <w:lang w:val="fr-CH"/>
      </w:rPr>
      <w:t xml:space="preserve"> </w:t>
    </w:r>
    <w:r w:rsidR="00A27DC5" w:rsidRPr="00A27DC5">
      <w:rPr>
        <w:noProof/>
        <w:lang w:val="fr-FR"/>
      </w:rPr>
      <w:t xml:space="preserve">Concept de sécurité au sens de l’OUC et de l’OPTM pour les </w:t>
    </w:r>
    <w:r w:rsidR="00A27DC5" w:rsidRPr="00A27DC5">
      <w:rPr>
        <w:lang w:val="fr-CH"/>
      </w:rPr>
      <w:t>laboratoires</w:t>
    </w:r>
    <w:r w:rsidR="00A27DC5" w:rsidRPr="00A27DC5">
      <w:rPr>
        <w:noProof/>
        <w:lang w:val="fr-FR"/>
      </w:rPr>
      <w:t xml:space="preserve"> de niveau 2</w:t>
    </w:r>
    <w:r w:rsidRPr="00A27DC5">
      <w:rPr>
        <w:noProof/>
        <w:lang w:val="fr-CH"/>
      </w:rPr>
      <w:t>)</w:t>
    </w:r>
    <w:r w:rsidRPr="00A27DC5">
      <w:rPr>
        <w:rStyle w:val="99Kopfzeilegrau"/>
        <w:color w:val="000000" w:themeColor="text1"/>
        <w:lang w:val="fr-CH"/>
      </w:rPr>
      <w:t xml:space="preserve"> </w:t>
    </w:r>
    <w:r w:rsidRPr="00A27DC5">
      <w:rPr>
        <w:rStyle w:val="99Kopfzeilegrau"/>
        <w:lang w:val="fr-CH"/>
      </w:rPr>
      <w:t xml:space="preserve">© </w:t>
    </w:r>
    <w:r w:rsidR="00A27DC5">
      <w:rPr>
        <w:rStyle w:val="99Kopfzeilegrau"/>
        <w:lang w:val="fr-CH"/>
      </w:rPr>
      <w:t>OFEV</w:t>
    </w:r>
    <w:r w:rsidRPr="00A27DC5">
      <w:rPr>
        <w:rStyle w:val="99Kopfzeilegrau"/>
        <w:lang w:val="fr-CH"/>
      </w:rPr>
      <w:t xml:space="preserve"> 2019</w:t>
    </w:r>
    <w:r w:rsidRPr="00A27DC5">
      <w:rPr>
        <w:lang w:val="fr-CH"/>
      </w:rPr>
      <w:tab/>
    </w:r>
    <w:r w:rsidRPr="00826F8A">
      <w:fldChar w:fldCharType="begin"/>
    </w:r>
    <w:r w:rsidRPr="00A27DC5">
      <w:rPr>
        <w:lang w:val="fr-CH"/>
      </w:rPr>
      <w:instrText>PAGE   \* MERGEFORMAT</w:instrText>
    </w:r>
    <w:r w:rsidRPr="00826F8A">
      <w:fldChar w:fldCharType="separate"/>
    </w:r>
    <w:r w:rsidR="00B46B13">
      <w:rPr>
        <w:noProof/>
        <w:lang w:val="fr-CH"/>
      </w:rPr>
      <w:t>2</w:t>
    </w:r>
    <w:r w:rsidRPr="00826F8A">
      <w:fldChar w:fldCharType="end"/>
    </w:r>
  </w:p>
  <w:p w:rsidR="008263A1" w:rsidRPr="00A27DC5" w:rsidRDefault="008263A1" w:rsidP="008263A1">
    <w:pPr>
      <w:pStyle w:val="99BAFUSatzspiegellinie"/>
      <w:tabs>
        <w:tab w:val="clear" w:pos="9072"/>
        <w:tab w:val="left" w:pos="1038"/>
      </w:tabs>
      <w:rPr>
        <w:lang w:val="fr-CH"/>
      </w:rPr>
    </w:pPr>
  </w:p>
  <w:p w:rsidR="008263A1" w:rsidRPr="00A27DC5" w:rsidRDefault="008263A1">
    <w:pPr>
      <w:pStyle w:val="Kopfzeile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6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2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1"/>
  </w:num>
  <w:num w:numId="4">
    <w:abstractNumId w:val="15"/>
  </w:num>
  <w:num w:numId="5">
    <w:abstractNumId w:val="22"/>
  </w:num>
  <w:num w:numId="6">
    <w:abstractNumId w:val="18"/>
  </w:num>
  <w:num w:numId="7">
    <w:abstractNumId w:val="18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6"/>
  </w:num>
  <w:num w:numId="16">
    <w:abstractNumId w:val="19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7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2726B"/>
    <w:rsid w:val="000508B2"/>
    <w:rsid w:val="000512CD"/>
    <w:rsid w:val="00054899"/>
    <w:rsid w:val="000568A8"/>
    <w:rsid w:val="000731DA"/>
    <w:rsid w:val="00077CC3"/>
    <w:rsid w:val="00081655"/>
    <w:rsid w:val="00084994"/>
    <w:rsid w:val="000904E5"/>
    <w:rsid w:val="000C7E51"/>
    <w:rsid w:val="000D6AEE"/>
    <w:rsid w:val="000E452C"/>
    <w:rsid w:val="000E45B2"/>
    <w:rsid w:val="00114F0A"/>
    <w:rsid w:val="0011540C"/>
    <w:rsid w:val="00123F12"/>
    <w:rsid w:val="00137A4D"/>
    <w:rsid w:val="00141E0E"/>
    <w:rsid w:val="00151AA2"/>
    <w:rsid w:val="00153C5B"/>
    <w:rsid w:val="00153F00"/>
    <w:rsid w:val="00153F2E"/>
    <w:rsid w:val="00155E13"/>
    <w:rsid w:val="001616BD"/>
    <w:rsid w:val="001651FF"/>
    <w:rsid w:val="00171342"/>
    <w:rsid w:val="00174045"/>
    <w:rsid w:val="00194DC9"/>
    <w:rsid w:val="001A44A2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2112A"/>
    <w:rsid w:val="00252555"/>
    <w:rsid w:val="00256463"/>
    <w:rsid w:val="002677B6"/>
    <w:rsid w:val="00273215"/>
    <w:rsid w:val="00276DDF"/>
    <w:rsid w:val="00284FE3"/>
    <w:rsid w:val="00286B19"/>
    <w:rsid w:val="002C7AD1"/>
    <w:rsid w:val="002F1914"/>
    <w:rsid w:val="00303E74"/>
    <w:rsid w:val="0030499A"/>
    <w:rsid w:val="00312C36"/>
    <w:rsid w:val="003176A2"/>
    <w:rsid w:val="00340CA8"/>
    <w:rsid w:val="00342FD2"/>
    <w:rsid w:val="00355384"/>
    <w:rsid w:val="003565E8"/>
    <w:rsid w:val="003741F7"/>
    <w:rsid w:val="003746C6"/>
    <w:rsid w:val="003766B9"/>
    <w:rsid w:val="00392765"/>
    <w:rsid w:val="003A597F"/>
    <w:rsid w:val="003B6705"/>
    <w:rsid w:val="003E79B6"/>
    <w:rsid w:val="00423368"/>
    <w:rsid w:val="00456CCB"/>
    <w:rsid w:val="00463452"/>
    <w:rsid w:val="00465964"/>
    <w:rsid w:val="00490C6C"/>
    <w:rsid w:val="004B4476"/>
    <w:rsid w:val="004B7112"/>
    <w:rsid w:val="004C4B1D"/>
    <w:rsid w:val="004E03D2"/>
    <w:rsid w:val="004E7EAC"/>
    <w:rsid w:val="004F374B"/>
    <w:rsid w:val="004F44ED"/>
    <w:rsid w:val="0051314B"/>
    <w:rsid w:val="00526A0C"/>
    <w:rsid w:val="005413E3"/>
    <w:rsid w:val="00546E75"/>
    <w:rsid w:val="00555CC1"/>
    <w:rsid w:val="00573B63"/>
    <w:rsid w:val="00590EFB"/>
    <w:rsid w:val="005936E6"/>
    <w:rsid w:val="00597917"/>
    <w:rsid w:val="005B2F37"/>
    <w:rsid w:val="005B4E5A"/>
    <w:rsid w:val="005C26BB"/>
    <w:rsid w:val="005C4B31"/>
    <w:rsid w:val="005D4790"/>
    <w:rsid w:val="005D54DA"/>
    <w:rsid w:val="005F1E57"/>
    <w:rsid w:val="005F66F3"/>
    <w:rsid w:val="0060561E"/>
    <w:rsid w:val="00615917"/>
    <w:rsid w:val="00624E5D"/>
    <w:rsid w:val="006555AB"/>
    <w:rsid w:val="00656D20"/>
    <w:rsid w:val="00656E64"/>
    <w:rsid w:val="00662AEE"/>
    <w:rsid w:val="00673184"/>
    <w:rsid w:val="00675961"/>
    <w:rsid w:val="0068153F"/>
    <w:rsid w:val="006822CA"/>
    <w:rsid w:val="006A2B0C"/>
    <w:rsid w:val="006B4642"/>
    <w:rsid w:val="006E2C99"/>
    <w:rsid w:val="006E453A"/>
    <w:rsid w:val="006E7C6F"/>
    <w:rsid w:val="006F27DB"/>
    <w:rsid w:val="00702B4D"/>
    <w:rsid w:val="00704BD5"/>
    <w:rsid w:val="00706C67"/>
    <w:rsid w:val="0071445F"/>
    <w:rsid w:val="0071576D"/>
    <w:rsid w:val="00727ECB"/>
    <w:rsid w:val="0073013E"/>
    <w:rsid w:val="007313BE"/>
    <w:rsid w:val="00734F2C"/>
    <w:rsid w:val="00763C01"/>
    <w:rsid w:val="007657BC"/>
    <w:rsid w:val="007669E5"/>
    <w:rsid w:val="00784F1A"/>
    <w:rsid w:val="0079704F"/>
    <w:rsid w:val="007A2A66"/>
    <w:rsid w:val="007B0F69"/>
    <w:rsid w:val="007B3F2C"/>
    <w:rsid w:val="007B48BE"/>
    <w:rsid w:val="007C36BD"/>
    <w:rsid w:val="007D348C"/>
    <w:rsid w:val="007D51FC"/>
    <w:rsid w:val="007D6BCE"/>
    <w:rsid w:val="007E7634"/>
    <w:rsid w:val="007F5163"/>
    <w:rsid w:val="0080534A"/>
    <w:rsid w:val="00821FE4"/>
    <w:rsid w:val="008263A1"/>
    <w:rsid w:val="00826F8A"/>
    <w:rsid w:val="00830F17"/>
    <w:rsid w:val="00832A96"/>
    <w:rsid w:val="008342B2"/>
    <w:rsid w:val="0083754E"/>
    <w:rsid w:val="00840AB7"/>
    <w:rsid w:val="0085003C"/>
    <w:rsid w:val="00855F6B"/>
    <w:rsid w:val="00895250"/>
    <w:rsid w:val="008B03E6"/>
    <w:rsid w:val="008D6A8F"/>
    <w:rsid w:val="008E1175"/>
    <w:rsid w:val="008E2F9D"/>
    <w:rsid w:val="00902C57"/>
    <w:rsid w:val="009071AD"/>
    <w:rsid w:val="00907453"/>
    <w:rsid w:val="00912EEC"/>
    <w:rsid w:val="00915D5B"/>
    <w:rsid w:val="00916073"/>
    <w:rsid w:val="0091784A"/>
    <w:rsid w:val="009365F9"/>
    <w:rsid w:val="00942F12"/>
    <w:rsid w:val="0095210C"/>
    <w:rsid w:val="00995980"/>
    <w:rsid w:val="009A05C8"/>
    <w:rsid w:val="009A2346"/>
    <w:rsid w:val="009A4697"/>
    <w:rsid w:val="009A4E87"/>
    <w:rsid w:val="009B6A65"/>
    <w:rsid w:val="009C1E92"/>
    <w:rsid w:val="009C6B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A14E83"/>
    <w:rsid w:val="00A23AAB"/>
    <w:rsid w:val="00A27DC5"/>
    <w:rsid w:val="00A36765"/>
    <w:rsid w:val="00A53829"/>
    <w:rsid w:val="00A60378"/>
    <w:rsid w:val="00A72158"/>
    <w:rsid w:val="00A84F32"/>
    <w:rsid w:val="00AB39EF"/>
    <w:rsid w:val="00AC2BB5"/>
    <w:rsid w:val="00AD2418"/>
    <w:rsid w:val="00AE55DC"/>
    <w:rsid w:val="00AF3C5E"/>
    <w:rsid w:val="00B21758"/>
    <w:rsid w:val="00B319B1"/>
    <w:rsid w:val="00B325D1"/>
    <w:rsid w:val="00B40C53"/>
    <w:rsid w:val="00B46B13"/>
    <w:rsid w:val="00B8675D"/>
    <w:rsid w:val="00B87B03"/>
    <w:rsid w:val="00B91E01"/>
    <w:rsid w:val="00B95429"/>
    <w:rsid w:val="00BB0408"/>
    <w:rsid w:val="00BC08C8"/>
    <w:rsid w:val="00BC1ED8"/>
    <w:rsid w:val="00BD7ACA"/>
    <w:rsid w:val="00BE4C60"/>
    <w:rsid w:val="00BF0385"/>
    <w:rsid w:val="00BF5276"/>
    <w:rsid w:val="00C030CC"/>
    <w:rsid w:val="00C06D65"/>
    <w:rsid w:val="00C562AD"/>
    <w:rsid w:val="00C603A6"/>
    <w:rsid w:val="00C71A5D"/>
    <w:rsid w:val="00C732B1"/>
    <w:rsid w:val="00C73B33"/>
    <w:rsid w:val="00C81D31"/>
    <w:rsid w:val="00C86541"/>
    <w:rsid w:val="00CB5B6D"/>
    <w:rsid w:val="00CB5D6C"/>
    <w:rsid w:val="00CC0951"/>
    <w:rsid w:val="00CC1A82"/>
    <w:rsid w:val="00CC6A37"/>
    <w:rsid w:val="00CE6B13"/>
    <w:rsid w:val="00CF6289"/>
    <w:rsid w:val="00CF7E2C"/>
    <w:rsid w:val="00D046D6"/>
    <w:rsid w:val="00D12461"/>
    <w:rsid w:val="00D313E8"/>
    <w:rsid w:val="00D32634"/>
    <w:rsid w:val="00D3342E"/>
    <w:rsid w:val="00D45CE1"/>
    <w:rsid w:val="00D53403"/>
    <w:rsid w:val="00D93ADD"/>
    <w:rsid w:val="00DA11C0"/>
    <w:rsid w:val="00DA351C"/>
    <w:rsid w:val="00DB118B"/>
    <w:rsid w:val="00DE38F1"/>
    <w:rsid w:val="00DE4CF2"/>
    <w:rsid w:val="00DF10B8"/>
    <w:rsid w:val="00E01811"/>
    <w:rsid w:val="00E03B46"/>
    <w:rsid w:val="00E3414A"/>
    <w:rsid w:val="00E40A11"/>
    <w:rsid w:val="00E45DD9"/>
    <w:rsid w:val="00E4708D"/>
    <w:rsid w:val="00E477CC"/>
    <w:rsid w:val="00E517EA"/>
    <w:rsid w:val="00E56938"/>
    <w:rsid w:val="00E57B38"/>
    <w:rsid w:val="00E7245F"/>
    <w:rsid w:val="00E76A19"/>
    <w:rsid w:val="00EA3E4B"/>
    <w:rsid w:val="00ED6F44"/>
    <w:rsid w:val="00ED789D"/>
    <w:rsid w:val="00EF0BB3"/>
    <w:rsid w:val="00F05162"/>
    <w:rsid w:val="00F10543"/>
    <w:rsid w:val="00F21441"/>
    <w:rsid w:val="00F325C1"/>
    <w:rsid w:val="00F336DA"/>
    <w:rsid w:val="00F63A80"/>
    <w:rsid w:val="00F704CF"/>
    <w:rsid w:val="00F71844"/>
    <w:rsid w:val="00F832E0"/>
    <w:rsid w:val="00F9380F"/>
    <w:rsid w:val="00FA4C27"/>
    <w:rsid w:val="00FA5113"/>
    <w:rsid w:val="00FB0E30"/>
    <w:rsid w:val="00FC3FD5"/>
    <w:rsid w:val="00FC6C30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  <w:ind w:left="85" w:hanging="85"/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paragraph" w:customStyle="1" w:styleId="Tabellenormal">
    <w:name w:val="Tabelle normal"/>
    <w:basedOn w:val="Standard"/>
    <w:rsid w:val="007C36BD"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tabs>
        <w:tab w:val="left" w:pos="567"/>
      </w:tabs>
      <w:spacing w:before="20" w:after="20" w:line="240" w:lineRule="exact"/>
    </w:pPr>
    <w:rPr>
      <w:rFonts w:ascii="Arial Narrow" w:eastAsia="Times" w:hAnsi="Arial Narrow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1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mwelt-schweiz.ch/buwal/de/fachgebiete/fg_biotechnologie/index.html" TargetMode="External"/><Relationship Id="rId1" Type="http://schemas.openxmlformats.org/officeDocument/2006/relationships/hyperlink" Target="http://www.bafu.admin.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ADBCF-6726-463A-ADFD-2F03B8A30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2</Pages>
  <Words>671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9</cp:revision>
  <cp:lastPrinted>2019-09-05T12:42:00Z</cp:lastPrinted>
  <dcterms:created xsi:type="dcterms:W3CDTF">2020-02-04T05:25:00Z</dcterms:created>
  <dcterms:modified xsi:type="dcterms:W3CDTF">2020-02-04T05:34:00Z</dcterms:modified>
</cp:coreProperties>
</file>