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CB52AE" w:rsidRDefault="009E4C68" w:rsidP="009E4C68">
      <w:pPr>
        <w:pStyle w:val="01BAFUKapiteltitelnummeriert"/>
        <w:numPr>
          <w:ilvl w:val="0"/>
          <w:numId w:val="0"/>
        </w:numPr>
        <w:rPr>
          <w:lang w:val="fr-CH"/>
        </w:rPr>
      </w:pPr>
      <w:bookmarkStart w:id="0" w:name="_Toc12457507"/>
      <w:r w:rsidRPr="00CB52AE">
        <w:rPr>
          <w:color w:val="B6BDBB"/>
          <w:lang w:val="fr-CH"/>
        </w:rPr>
        <w:t>An</w:t>
      </w:r>
      <w:r w:rsidR="00CB52AE" w:rsidRPr="00CB52AE">
        <w:rPr>
          <w:color w:val="B6BDBB"/>
          <w:lang w:val="fr-CH"/>
        </w:rPr>
        <w:t>nexe</w:t>
      </w:r>
      <w:r w:rsidRPr="00CB52AE">
        <w:rPr>
          <w:color w:val="B6BDBB"/>
          <w:lang w:val="fr-CH"/>
        </w:rPr>
        <w:t xml:space="preserve"> </w:t>
      </w:r>
      <w:r w:rsidR="00EA4E63" w:rsidRPr="00CB52AE">
        <w:rPr>
          <w:color w:val="B6BDBB"/>
          <w:lang w:val="fr-CH"/>
        </w:rPr>
        <w:t>7</w:t>
      </w:r>
      <w:r w:rsidRPr="00CB52AE">
        <w:rPr>
          <w:lang w:val="fr-CH"/>
        </w:rPr>
        <w:t xml:space="preserve"> </w:t>
      </w:r>
      <w:bookmarkEnd w:id="0"/>
      <w:r w:rsidR="00CB52AE" w:rsidRPr="00CB52AE">
        <w:rPr>
          <w:lang w:val="fr-FR"/>
        </w:rPr>
        <w:t>Réglementation de l’accès à la zone de travail de niveau 2</w:t>
      </w:r>
    </w:p>
    <w:p w:rsidR="00CB52AE" w:rsidRPr="00CB52AE" w:rsidRDefault="00CB52AE" w:rsidP="00EE180C">
      <w:pPr>
        <w:pStyle w:val="05BAFUGrundschrift"/>
        <w:spacing w:after="566"/>
        <w:rPr>
          <w:b/>
          <w:color w:val="6C9051" w:themeColor="accent2" w:themeShade="BF"/>
          <w:lang w:val="fr-FR"/>
        </w:rPr>
      </w:pPr>
      <w:r w:rsidRPr="00CB52AE">
        <w:rPr>
          <w:b/>
          <w:color w:val="6C9051" w:themeColor="accent2" w:themeShade="BF"/>
          <w:lang w:val="fr-FR"/>
        </w:rPr>
        <w:t>Ce document doit être adapté aux spécificités de l’entreprise.</w:t>
      </w:r>
    </w:p>
    <w:p w:rsidR="00837CC2" w:rsidRPr="00837CC2" w:rsidRDefault="00837CC2" w:rsidP="00837CC2">
      <w:pPr>
        <w:pStyle w:val="02BAFUTitelnummeriert"/>
        <w:rPr>
          <w:lang w:val="fr-FR"/>
        </w:rPr>
      </w:pPr>
      <w:r w:rsidRPr="00837CC2">
        <w:rPr>
          <w:lang w:val="fr-FR"/>
        </w:rPr>
        <w:t>But</w:t>
      </w:r>
    </w:p>
    <w:p w:rsidR="00837CC2" w:rsidRPr="00837CC2" w:rsidRDefault="00837CC2" w:rsidP="00EE180C">
      <w:pPr>
        <w:pStyle w:val="05BAFUGrundschrift"/>
        <w:spacing w:after="566"/>
        <w:rPr>
          <w:lang w:val="fr-FR"/>
        </w:rPr>
      </w:pPr>
      <w:r w:rsidRPr="00837CC2">
        <w:rPr>
          <w:lang w:val="fr-FR"/>
        </w:rPr>
        <w:t>L’accès à la zone de travail de niveau 2 est limité, conformément à l’ordonnance sur l’utilisation confinée (OUC), à un cercle de personnes autorisées et il est organisé comme décrit ci-après.</w:t>
      </w:r>
    </w:p>
    <w:p w:rsidR="00837CC2" w:rsidRPr="00837CC2" w:rsidRDefault="00837CC2" w:rsidP="00EE180C">
      <w:pPr>
        <w:pStyle w:val="02BAFUTitelnummeriert"/>
        <w:spacing w:before="283" w:after="283"/>
        <w:rPr>
          <w:lang w:val="fr-FR"/>
        </w:rPr>
      </w:pPr>
      <w:r w:rsidRPr="00837CC2">
        <w:rPr>
          <w:lang w:val="fr-FR"/>
        </w:rPr>
        <w:t>Réglementation de l’autorisation d’accès</w:t>
      </w:r>
    </w:p>
    <w:p w:rsidR="00837CC2" w:rsidRPr="00837CC2" w:rsidRDefault="00837CC2" w:rsidP="00EE180C">
      <w:pPr>
        <w:pStyle w:val="05BAFUGrundschrift"/>
        <w:spacing w:after="0"/>
        <w:ind w:left="357" w:hanging="357"/>
        <w:rPr>
          <w:lang w:val="fr-FR"/>
        </w:rPr>
      </w:pPr>
      <w:r w:rsidRPr="00837CC2">
        <w:rPr>
          <w:lang w:val="fr-FR"/>
        </w:rPr>
        <w:t>1.</w:t>
      </w:r>
      <w:r w:rsidRPr="00837CC2">
        <w:rPr>
          <w:lang w:val="fr-FR"/>
        </w:rPr>
        <w:tab/>
        <w:t>N’ont accès aux laboratoires de niveau 2 que les personnes ayant été autorisées par les responsables de la sécurité biologique ou les chefs de projet et instruites des mesures de sécurité.</w:t>
      </w:r>
    </w:p>
    <w:p w:rsidR="00837CC2" w:rsidRPr="00837CC2" w:rsidRDefault="00837CC2" w:rsidP="00EE180C">
      <w:pPr>
        <w:pStyle w:val="05BAFUGrundschrift"/>
        <w:spacing w:after="0"/>
        <w:ind w:left="357" w:hanging="357"/>
        <w:rPr>
          <w:lang w:val="fr-FR"/>
        </w:rPr>
      </w:pPr>
      <w:r w:rsidRPr="00837CC2">
        <w:rPr>
          <w:lang w:val="fr-FR"/>
        </w:rPr>
        <w:t>2.</w:t>
      </w:r>
      <w:r w:rsidRPr="00837CC2">
        <w:rPr>
          <w:lang w:val="fr-FR"/>
        </w:rPr>
        <w:tab/>
        <w:t>L’accès aux laboratoires de niveau 2 n’est autorisé au personnel chargé du nettoyage qu’après que le responsable du laboratoire lui ait donné des consignes de sécurité en rapport avec son travail.</w:t>
      </w:r>
    </w:p>
    <w:p w:rsidR="00837CC2" w:rsidRPr="00837CC2" w:rsidRDefault="00837CC2" w:rsidP="00EE180C">
      <w:pPr>
        <w:pStyle w:val="05BAFUGrundschrift"/>
        <w:spacing w:after="0"/>
        <w:ind w:left="357" w:hanging="357"/>
        <w:rPr>
          <w:lang w:val="fr-FR"/>
        </w:rPr>
      </w:pPr>
      <w:r>
        <w:rPr>
          <w:lang w:val="fr-FR"/>
        </w:rPr>
        <w:t>3.</w:t>
      </w:r>
      <w:r>
        <w:rPr>
          <w:lang w:val="fr-FR"/>
        </w:rPr>
        <w:tab/>
      </w:r>
      <w:r w:rsidRPr="00837CC2">
        <w:rPr>
          <w:lang w:val="fr-FR"/>
        </w:rPr>
        <w:t xml:space="preserve">Les visiteurs ne peuvent pénétrer et travailler dans le laboratoire de niveau 2 qu’après avoir été préalablement autorisés par le chef du laboratoire </w:t>
      </w:r>
      <w:r w:rsidRPr="00EE180C">
        <w:rPr>
          <w:b/>
          <w:lang w:val="fr-FR"/>
        </w:rPr>
        <w:t>ou</w:t>
      </w:r>
      <w:r w:rsidRPr="00837CC2">
        <w:rPr>
          <w:lang w:val="fr-FR"/>
        </w:rPr>
        <w:t xml:space="preserve"> le responsable de la sécurité biologique, ceci en étant accompagnés par des personnes compétentes et après qu’on leur ait expliqué les dangers potentiels. Toutes les visites doivent être inscrites dans un registre des visiteurs.</w:t>
      </w:r>
    </w:p>
    <w:p w:rsidR="00837CC2" w:rsidRPr="00837CC2" w:rsidRDefault="00837CC2" w:rsidP="00EE180C">
      <w:pPr>
        <w:pStyle w:val="05BAFUGrundschrift"/>
        <w:spacing w:after="566"/>
        <w:ind w:left="357" w:hanging="357"/>
        <w:rPr>
          <w:lang w:val="fr-FR"/>
        </w:rPr>
      </w:pPr>
      <w:r>
        <w:rPr>
          <w:lang w:val="fr-FR"/>
        </w:rPr>
        <w:t>4.</w:t>
      </w:r>
      <w:r>
        <w:rPr>
          <w:lang w:val="fr-FR"/>
        </w:rPr>
        <w:tab/>
      </w:r>
      <w:r w:rsidRPr="00837CC2">
        <w:rPr>
          <w:lang w:val="fr-FR"/>
        </w:rPr>
        <w:t>Lors notamment de travaux de nettoyage et de maintenance ainsi que de réparations effectués dans des laboratoires de niveau 2, le personnel doit être instruit des mesures de protection préventives.</w:t>
      </w:r>
    </w:p>
    <w:p w:rsidR="00837CC2" w:rsidRPr="00837CC2" w:rsidRDefault="00837CC2" w:rsidP="00EE180C">
      <w:pPr>
        <w:pStyle w:val="02BAFUTitelnummeriert"/>
        <w:spacing w:before="283"/>
        <w:rPr>
          <w:lang w:val="fr-FR"/>
        </w:rPr>
      </w:pPr>
      <w:bookmarkStart w:id="1" w:name="_Toc20555724"/>
      <w:r w:rsidRPr="00837CC2">
        <w:rPr>
          <w:lang w:val="fr-FR"/>
        </w:rPr>
        <w:t>Mise en œuvre du point de vue technique</w:t>
      </w:r>
      <w:bookmarkEnd w:id="1"/>
    </w:p>
    <w:p w:rsidR="00837CC2" w:rsidRPr="00837CC2" w:rsidRDefault="00837CC2" w:rsidP="00EE180C">
      <w:pPr>
        <w:pStyle w:val="05BAFUGrundschrift"/>
        <w:spacing w:after="0"/>
        <w:ind w:left="357" w:hanging="357"/>
        <w:rPr>
          <w:lang w:val="fr-FR"/>
        </w:rPr>
      </w:pPr>
      <w:r w:rsidRPr="00837CC2">
        <w:rPr>
          <w:lang w:val="fr-FR"/>
        </w:rPr>
        <w:t>1.</w:t>
      </w:r>
      <w:r w:rsidRPr="00837CC2">
        <w:rPr>
          <w:lang w:val="fr-FR"/>
        </w:rPr>
        <w:tab/>
        <w:t>Un panneau d’avertissement « risques biologiques » est placé de manière bien visible au ni</w:t>
      </w:r>
      <w:r w:rsidRPr="00837CC2">
        <w:rPr>
          <w:lang w:val="fr-FR"/>
        </w:rPr>
        <w:softHyphen/>
        <w:t>veau de la zone d’entrée du laboratoire pour indiquer qu’il s’agit d’un laboratoire de niveau 2.</w:t>
      </w:r>
    </w:p>
    <w:p w:rsidR="00837CC2" w:rsidRPr="00837CC2" w:rsidRDefault="00837CC2" w:rsidP="00EE180C">
      <w:pPr>
        <w:pStyle w:val="05BAFUGrundschrift"/>
        <w:spacing w:after="0"/>
        <w:ind w:left="357" w:hanging="357"/>
        <w:rPr>
          <w:lang w:val="fr-FR"/>
        </w:rPr>
      </w:pPr>
      <w:r w:rsidRPr="00837CC2">
        <w:rPr>
          <w:lang w:val="fr-FR"/>
        </w:rPr>
        <w:t>2.</w:t>
      </w:r>
      <w:r w:rsidRPr="00837CC2">
        <w:rPr>
          <w:lang w:val="fr-FR"/>
        </w:rPr>
        <w:tab/>
        <w:t>Un panneau « Accès réservé uniquement aux personnes autorisées » bien visible est apposé à l’extérieur des laboratoires. Sous ce panneau figure le nom du chef responsable du laboratoire ainsi que les noms des personnes bénéficiant d’une autorisation d’accès.</w:t>
      </w:r>
    </w:p>
    <w:p w:rsidR="004E2659" w:rsidRDefault="00837CC2" w:rsidP="00EE180C">
      <w:pPr>
        <w:pStyle w:val="05BAFUGrundschrift"/>
        <w:spacing w:after="0"/>
        <w:ind w:left="357" w:hanging="357"/>
        <w:rPr>
          <w:lang w:val="fr-FR"/>
        </w:rPr>
      </w:pPr>
      <w:r w:rsidRPr="00837CC2">
        <w:rPr>
          <w:lang w:val="fr-FR"/>
        </w:rPr>
        <w:t>3.</w:t>
      </w:r>
      <w:r w:rsidRPr="00837CC2">
        <w:rPr>
          <w:lang w:val="fr-FR"/>
        </w:rPr>
        <w:tab/>
        <w:t>Dans le concept de confinement, il est tenu compte du fait qu’en cas d’incident (p. ex. incendie), le personnel des services d’intervention doit pouvoir avoir accès rapidement et en toute sécurité (clé pour le service du feu, etc.). Les parcours d’évacuation sont assurés.</w:t>
      </w:r>
    </w:p>
    <w:p w:rsidR="004E2659" w:rsidRDefault="004E2659">
      <w:pPr>
        <w:rPr>
          <w:rFonts w:ascii="Arial" w:hAnsi="Arial" w:cs="Arial"/>
          <w:noProof/>
          <w:sz w:val="20"/>
          <w:szCs w:val="20"/>
          <w:lang w:val="fr-FR" w:eastAsia="de-CH"/>
        </w:rPr>
      </w:pPr>
      <w:r>
        <w:rPr>
          <w:lang w:val="fr-FR"/>
        </w:rPr>
        <w:br w:type="page"/>
      </w:r>
    </w:p>
    <w:p w:rsidR="00837CC2" w:rsidRPr="00837CC2" w:rsidRDefault="00837CC2" w:rsidP="00EE180C">
      <w:pPr>
        <w:pStyle w:val="05BAFUGrundschrift"/>
        <w:spacing w:after="0"/>
        <w:ind w:left="357" w:hanging="357"/>
        <w:rPr>
          <w:lang w:val="fr-FR"/>
        </w:rPr>
      </w:pPr>
      <w:r w:rsidRPr="00837CC2">
        <w:rPr>
          <w:lang w:val="fr-FR"/>
        </w:rPr>
        <w:lastRenderedPageBreak/>
        <w:t>4.</w:t>
      </w:r>
      <w:r w:rsidRPr="00837CC2">
        <w:rPr>
          <w:lang w:val="fr-FR"/>
        </w:rPr>
        <w:tab/>
        <w:t xml:space="preserve">Les portes des laboratoires restent fermées pendant le travail mais ne doivent pas être fermées à clé. </w:t>
      </w:r>
      <w:r w:rsidRPr="001F36C1">
        <w:rPr>
          <w:b/>
          <w:color w:val="6C9051" w:themeColor="accent2" w:themeShade="BF"/>
          <w:lang w:val="fr-FR"/>
        </w:rPr>
        <w:t>Les portes des laboratoires sont équipées d’un mécanisme de fermeture automatique.</w:t>
      </w:r>
      <w:r w:rsidRPr="00837CC2">
        <w:rPr>
          <w:lang w:val="fr-FR"/>
        </w:rPr>
        <w:t xml:space="preserve"> Les laboratoires sont fermés à clé lorsqu’ils ne sont pas utilisés.</w:t>
      </w:r>
    </w:p>
    <w:p w:rsidR="00837CC2" w:rsidRPr="00837CC2" w:rsidRDefault="00837CC2" w:rsidP="00EE180C">
      <w:pPr>
        <w:pStyle w:val="05BAFUGrundschrift"/>
        <w:ind w:left="357" w:hanging="357"/>
        <w:rPr>
          <w:lang w:val="fr-FR"/>
        </w:rPr>
      </w:pPr>
      <w:r w:rsidRPr="00837CC2">
        <w:rPr>
          <w:lang w:val="fr-FR"/>
        </w:rPr>
        <w:t>5.</w:t>
      </w:r>
      <w:r w:rsidRPr="00837CC2">
        <w:rPr>
          <w:lang w:val="fr-FR"/>
        </w:rPr>
        <w:tab/>
        <w:t>Les noms des visiteurs auxquels l’accès a été autorisé et du personnel externe de main</w:t>
      </w:r>
      <w:r w:rsidRPr="00837CC2">
        <w:rPr>
          <w:lang w:val="fr-FR"/>
        </w:rPr>
        <w:softHyphen/>
        <w:t>te</w:t>
      </w:r>
      <w:r w:rsidRPr="00837CC2">
        <w:rPr>
          <w:lang w:val="fr-FR"/>
        </w:rPr>
        <w:softHyphen/>
        <w:t xml:space="preserve">nance et de réparation, ainsi que leur statut (durée de validité), figurent dans un registre des visiteurs (logsheet). </w:t>
      </w: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451458" w:rsidTr="009575A9">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left w:val="nil"/>
              <w:bottom w:val="nil"/>
              <w:right w:val="single" w:sz="4" w:space="0" w:color="FFFFFF" w:themeColor="background1"/>
            </w:tcBorders>
            <w:shd w:val="clear" w:color="auto" w:fill="F2F2F2" w:themeFill="background1" w:themeFillShade="F2"/>
            <w:vAlign w:val="center"/>
            <w:hideMark/>
          </w:tcPr>
          <w:p w:rsidR="00451458" w:rsidRDefault="004E2659">
            <w:pPr>
              <w:pStyle w:val="07BAFUTabellelinks"/>
            </w:pPr>
            <w:proofErr w:type="spellStart"/>
            <w:r>
              <w:rPr>
                <w:color w:val="6C9051" w:themeColor="accent2" w:themeShade="BF"/>
              </w:rPr>
              <w:t>Redige</w:t>
            </w:r>
            <w:proofErr w:type="spellEnd"/>
            <w:r>
              <w:rPr>
                <w:color w:val="6C9051" w:themeColor="accent2" w:themeShade="BF"/>
              </w:rPr>
              <w:t>/</w:t>
            </w:r>
            <w:proofErr w:type="spellStart"/>
            <w:r>
              <w:rPr>
                <w:color w:val="6C9051" w:themeColor="accent2" w:themeShade="BF"/>
              </w:rPr>
              <w:t>Approuve</w:t>
            </w:r>
            <w:proofErr w:type="spellEnd"/>
            <w:r>
              <w:rPr>
                <w:color w:val="6C9051" w:themeColor="accent2" w:themeShade="BF"/>
              </w:rPr>
              <w:t xml:space="preserve"> par</w:t>
            </w:r>
          </w:p>
        </w:tc>
        <w:tc>
          <w:tcPr>
            <w:tcW w:w="7487" w:type="dxa"/>
            <w:tcBorders>
              <w:bottom w:val="nil"/>
              <w:right w:val="single" w:sz="4" w:space="0" w:color="FFFFFF" w:themeColor="background1"/>
            </w:tcBorders>
            <w:shd w:val="clear" w:color="auto" w:fill="F2F2F2" w:themeFill="background1" w:themeFillShade="F2"/>
          </w:tcPr>
          <w:p w:rsidR="00451458" w:rsidRDefault="00451458">
            <w:pPr>
              <w:pStyle w:val="07BAFUTabellelinks"/>
              <w:cnfStyle w:val="100000000000" w:firstRow="1" w:lastRow="0" w:firstColumn="0" w:lastColumn="0" w:oddVBand="0" w:evenVBand="0" w:oddHBand="0" w:evenHBand="0" w:firstRowFirstColumn="0" w:firstRowLastColumn="0" w:lastRowFirstColumn="0" w:lastRowLastColumn="0"/>
            </w:pPr>
          </w:p>
        </w:tc>
      </w:tr>
      <w:tr w:rsidR="00451458" w:rsidTr="009575A9">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single" w:sz="4" w:space="0" w:color="FFFFFF" w:themeColor="background1"/>
            </w:tcBorders>
            <w:vAlign w:val="center"/>
            <w:hideMark/>
          </w:tcPr>
          <w:p w:rsidR="00451458" w:rsidRDefault="004E2659">
            <w:pPr>
              <w:pStyle w:val="07BAFUTabellelinks"/>
            </w:pPr>
            <w:proofErr w:type="spellStart"/>
            <w:r>
              <w:rPr>
                <w:color w:val="6C9051" w:themeColor="accent2" w:themeShade="BF"/>
              </w:rPr>
              <w:t>Valable</w:t>
            </w:r>
            <w:proofErr w:type="spellEnd"/>
            <w:r>
              <w:rPr>
                <w:color w:val="6C9051" w:themeColor="accent2" w:themeShade="BF"/>
              </w:rPr>
              <w:t xml:space="preserve"> des</w:t>
            </w:r>
            <w:bookmarkStart w:id="2" w:name="_GoBack"/>
            <w:bookmarkEnd w:id="2"/>
          </w:p>
        </w:tc>
        <w:tc>
          <w:tcPr>
            <w:tcW w:w="7487" w:type="dxa"/>
            <w:tcBorders>
              <w:top w:val="nil"/>
              <w:left w:val="single" w:sz="2" w:space="0" w:color="666666" w:themeColor="text1" w:themeTint="99"/>
              <w:bottom w:val="nil"/>
              <w:right w:val="single" w:sz="4" w:space="0" w:color="FFFFFF" w:themeColor="background1"/>
            </w:tcBorders>
          </w:tcPr>
          <w:p w:rsidR="00451458" w:rsidRDefault="00451458">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703" w:rsidRDefault="003A1703" w:rsidP="00DE38F1">
      <w:pPr>
        <w:spacing w:after="0" w:line="240" w:lineRule="auto"/>
      </w:pPr>
      <w:r>
        <w:separator/>
      </w:r>
    </w:p>
  </w:endnote>
  <w:endnote w:type="continuationSeparator" w:id="0">
    <w:p w:rsidR="003A1703" w:rsidRDefault="003A1703"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5000785B" w:usb2="00000000"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703" w:rsidRDefault="003A1703" w:rsidP="00DE38F1">
      <w:pPr>
        <w:spacing w:after="0" w:line="240" w:lineRule="auto"/>
      </w:pPr>
    </w:p>
  </w:footnote>
  <w:footnote w:type="continuationSeparator" w:id="0">
    <w:p w:rsidR="003A1703" w:rsidRDefault="003A1703" w:rsidP="00DE3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CB52AE" w:rsidRDefault="008263A1" w:rsidP="00CB52AE">
    <w:pPr>
      <w:pStyle w:val="99BAFUKopfzeileGrau"/>
      <w:rPr>
        <w:lang w:val="fr-CH"/>
      </w:rPr>
    </w:pPr>
    <w:r w:rsidRPr="00CB52AE">
      <w:rPr>
        <w:lang w:val="fr-CH"/>
      </w:rPr>
      <w:t>A</w:t>
    </w:r>
    <w:r w:rsidR="00CB52AE" w:rsidRPr="00CB52AE">
      <w:rPr>
        <w:lang w:val="fr-CH"/>
      </w:rPr>
      <w:t>nnexe</w:t>
    </w:r>
    <w:r w:rsidRPr="00CB52AE">
      <w:rPr>
        <w:lang w:val="fr-CH"/>
      </w:rPr>
      <w:t xml:space="preserve"> </w:t>
    </w:r>
    <w:r w:rsidR="00EA4E63" w:rsidRPr="00CB52AE">
      <w:rPr>
        <w:lang w:val="fr-CH"/>
      </w:rPr>
      <w:t>7</w:t>
    </w:r>
    <w:r w:rsidRPr="00CB52AE">
      <w:rPr>
        <w:lang w:val="fr-CH"/>
      </w:rPr>
      <w:t xml:space="preserve">. </w:t>
    </w:r>
    <w:r w:rsidR="00CB52AE" w:rsidRPr="00CB52AE">
      <w:rPr>
        <w:lang w:val="fr-FR"/>
      </w:rPr>
      <w:t>Concept de sécurité au sens de l’OUC et de l’OPTM pour les laboratoires de niveau 2</w:t>
    </w:r>
    <w:r w:rsidRPr="00CB52AE">
      <w:rPr>
        <w:rStyle w:val="99Kopfzeilegrau"/>
        <w:color w:val="auto"/>
        <w:lang w:val="fr-CH"/>
      </w:rPr>
      <w:t xml:space="preserve"> </w:t>
    </w:r>
    <w:r w:rsidRPr="00CB52AE">
      <w:rPr>
        <w:rStyle w:val="99Kopfzeilegrau"/>
        <w:lang w:val="fr-CH"/>
      </w:rPr>
      <w:t xml:space="preserve">© </w:t>
    </w:r>
    <w:r w:rsidR="00CB52AE">
      <w:rPr>
        <w:rStyle w:val="99Kopfzeilegrau"/>
        <w:lang w:val="fr-CH"/>
      </w:rPr>
      <w:t>OFEV</w:t>
    </w:r>
    <w:r w:rsidRPr="00CB52AE">
      <w:rPr>
        <w:rStyle w:val="99Kopfzeilegrau"/>
        <w:lang w:val="fr-CH"/>
      </w:rPr>
      <w:t xml:space="preserve"> 2019</w:t>
    </w:r>
    <w:r w:rsidRPr="00CB52AE">
      <w:rPr>
        <w:lang w:val="fr-CH"/>
      </w:rPr>
      <w:tab/>
    </w:r>
    <w:r w:rsidRPr="00E56825">
      <w:fldChar w:fldCharType="begin"/>
    </w:r>
    <w:r w:rsidRPr="00CB52AE">
      <w:rPr>
        <w:lang w:val="fr-CH"/>
      </w:rPr>
      <w:instrText>PAGE   \* MERGEFORMAT</w:instrText>
    </w:r>
    <w:r w:rsidRPr="00E56825">
      <w:fldChar w:fldCharType="separate"/>
    </w:r>
    <w:r w:rsidR="004E2659">
      <w:rPr>
        <w:noProof/>
        <w:lang w:val="fr-CH"/>
      </w:rPr>
      <w:t>2</w:t>
    </w:r>
    <w:r w:rsidRPr="00E56825">
      <w:fldChar w:fldCharType="end"/>
    </w:r>
  </w:p>
  <w:p w:rsidR="008263A1" w:rsidRPr="00CB52AE" w:rsidRDefault="008263A1" w:rsidP="008263A1">
    <w:pPr>
      <w:pStyle w:val="99BAFUSatzspiegellinie"/>
      <w:tabs>
        <w:tab w:val="clear" w:pos="9072"/>
        <w:tab w:val="left" w:pos="1038"/>
      </w:tabs>
      <w:rPr>
        <w:lang w:val="fr-CH"/>
      </w:rPr>
    </w:pPr>
  </w:p>
  <w:p w:rsidR="008263A1" w:rsidRPr="00CB52AE" w:rsidRDefault="008263A1">
    <w:pPr>
      <w:pStyle w:val="Kopfzeile"/>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1"/>
    <w:multiLevelType w:val="singleLevel"/>
    <w:tmpl w:val="00000000"/>
    <w:lvl w:ilvl="0">
      <w:start w:val="3"/>
      <w:numFmt w:val="decimal"/>
      <w:lvlText w:val="%1."/>
      <w:lvlJc w:val="left"/>
      <w:pPr>
        <w:tabs>
          <w:tab w:val="num" w:pos="560"/>
        </w:tabs>
        <w:ind w:left="560" w:hanging="560"/>
      </w:pPr>
      <w:rPr>
        <w:rFonts w:hint="default"/>
      </w:rPr>
    </w:lvl>
  </w:abstractNum>
  <w:abstractNum w:abstractNumId="12"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0FBB3221"/>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24382D46"/>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0"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3"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7"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7DE22146"/>
    <w:multiLevelType w:val="hybridMultilevel"/>
    <w:tmpl w:val="4D32DC0E"/>
    <w:lvl w:ilvl="0" w:tplc="85AA41C2">
      <w:start w:val="1"/>
      <w:numFmt w:val="decimal"/>
      <w:pStyle w:val="02BAFUTitelnummeriert"/>
      <w:lvlText w:val="%1."/>
      <w:lvlJc w:val="left"/>
      <w:pPr>
        <w:ind w:left="720" w:hanging="360"/>
      </w:p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5"/>
  </w:num>
  <w:num w:numId="2">
    <w:abstractNumId w:val="16"/>
  </w:num>
  <w:num w:numId="3">
    <w:abstractNumId w:val="13"/>
  </w:num>
  <w:num w:numId="4">
    <w:abstractNumId w:val="19"/>
  </w:num>
  <w:num w:numId="5">
    <w:abstractNumId w:val="27"/>
  </w:num>
  <w:num w:numId="6">
    <w:abstractNumId w:val="22"/>
  </w:num>
  <w:num w:numId="7">
    <w:abstractNumId w:val="22"/>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26"/>
  </w:num>
  <w:num w:numId="9">
    <w:abstractNumId w:val="9"/>
  </w:num>
  <w:num w:numId="10">
    <w:abstractNumId w:val="7"/>
  </w:num>
  <w:num w:numId="11">
    <w:abstractNumId w:val="6"/>
  </w:num>
  <w:num w:numId="12">
    <w:abstractNumId w:val="5"/>
  </w:num>
  <w:num w:numId="13">
    <w:abstractNumId w:val="4"/>
  </w:num>
  <w:num w:numId="14">
    <w:abstractNumId w:val="12"/>
  </w:num>
  <w:num w:numId="15">
    <w:abstractNumId w:val="20"/>
  </w:num>
  <w:num w:numId="16">
    <w:abstractNumId w:val="24"/>
  </w:num>
  <w:num w:numId="17">
    <w:abstractNumId w:val="15"/>
  </w:num>
  <w:num w:numId="18">
    <w:abstractNumId w:val="26"/>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21"/>
  </w:num>
  <w:num w:numId="25">
    <w:abstractNumId w:val="17"/>
  </w:num>
  <w:num w:numId="26">
    <w:abstractNumId w:val="29"/>
  </w:num>
  <w:num w:numId="27">
    <w:abstractNumId w:val="23"/>
  </w:num>
  <w:num w:numId="28">
    <w:abstractNumId w:val="28"/>
  </w:num>
  <w:num w:numId="29">
    <w:abstractNumId w:val="21"/>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14"/>
  </w:num>
  <w:num w:numId="32">
    <w:abstractNumId w:val="12"/>
  </w:num>
  <w:num w:numId="33">
    <w:abstractNumId w:val="18"/>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159CF"/>
    <w:rsid w:val="0002726B"/>
    <w:rsid w:val="000323C2"/>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7A4D"/>
    <w:rsid w:val="00141E0E"/>
    <w:rsid w:val="00151AA2"/>
    <w:rsid w:val="00153C5B"/>
    <w:rsid w:val="00153F00"/>
    <w:rsid w:val="00153F2E"/>
    <w:rsid w:val="001616BD"/>
    <w:rsid w:val="001651FF"/>
    <w:rsid w:val="00171342"/>
    <w:rsid w:val="00174045"/>
    <w:rsid w:val="001773BB"/>
    <w:rsid w:val="00194DC9"/>
    <w:rsid w:val="001A44A2"/>
    <w:rsid w:val="001B43F2"/>
    <w:rsid w:val="001C1F8F"/>
    <w:rsid w:val="001C37D6"/>
    <w:rsid w:val="001C5CBC"/>
    <w:rsid w:val="001D5333"/>
    <w:rsid w:val="001D5784"/>
    <w:rsid w:val="001E08D4"/>
    <w:rsid w:val="001E33A5"/>
    <w:rsid w:val="001F36C1"/>
    <w:rsid w:val="001F376D"/>
    <w:rsid w:val="001F3837"/>
    <w:rsid w:val="00203AE3"/>
    <w:rsid w:val="00206A92"/>
    <w:rsid w:val="0022112A"/>
    <w:rsid w:val="00252555"/>
    <w:rsid w:val="00256463"/>
    <w:rsid w:val="002677B6"/>
    <w:rsid w:val="00267CF3"/>
    <w:rsid w:val="00276DDF"/>
    <w:rsid w:val="00284FE3"/>
    <w:rsid w:val="00286B19"/>
    <w:rsid w:val="002A25DC"/>
    <w:rsid w:val="002B0862"/>
    <w:rsid w:val="002C138B"/>
    <w:rsid w:val="002C7A3C"/>
    <w:rsid w:val="002C7AD1"/>
    <w:rsid w:val="002F1914"/>
    <w:rsid w:val="00303E74"/>
    <w:rsid w:val="0030499A"/>
    <w:rsid w:val="00312C36"/>
    <w:rsid w:val="003176A2"/>
    <w:rsid w:val="00340CA8"/>
    <w:rsid w:val="00342FD2"/>
    <w:rsid w:val="00345392"/>
    <w:rsid w:val="00350EB3"/>
    <w:rsid w:val="00355384"/>
    <w:rsid w:val="003565E8"/>
    <w:rsid w:val="003741F7"/>
    <w:rsid w:val="003746C6"/>
    <w:rsid w:val="003766B9"/>
    <w:rsid w:val="00392765"/>
    <w:rsid w:val="003A1703"/>
    <w:rsid w:val="003A2FCE"/>
    <w:rsid w:val="003A597F"/>
    <w:rsid w:val="003B6705"/>
    <w:rsid w:val="003E0730"/>
    <w:rsid w:val="00423368"/>
    <w:rsid w:val="00451458"/>
    <w:rsid w:val="00456CCB"/>
    <w:rsid w:val="00463452"/>
    <w:rsid w:val="00465964"/>
    <w:rsid w:val="00490C6C"/>
    <w:rsid w:val="004B4476"/>
    <w:rsid w:val="004B7112"/>
    <w:rsid w:val="004C0384"/>
    <w:rsid w:val="004C4B1D"/>
    <w:rsid w:val="004E03D2"/>
    <w:rsid w:val="004E2659"/>
    <w:rsid w:val="004E7EAC"/>
    <w:rsid w:val="004F374B"/>
    <w:rsid w:val="004F44ED"/>
    <w:rsid w:val="0051314B"/>
    <w:rsid w:val="00526A0C"/>
    <w:rsid w:val="005413E3"/>
    <w:rsid w:val="00546E75"/>
    <w:rsid w:val="00555CC1"/>
    <w:rsid w:val="00570D73"/>
    <w:rsid w:val="00573B63"/>
    <w:rsid w:val="00590EFB"/>
    <w:rsid w:val="005936E6"/>
    <w:rsid w:val="00597917"/>
    <w:rsid w:val="005A2AD0"/>
    <w:rsid w:val="005B2F37"/>
    <w:rsid w:val="005B4E5A"/>
    <w:rsid w:val="005C4B31"/>
    <w:rsid w:val="005D4790"/>
    <w:rsid w:val="005D54DA"/>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661A"/>
    <w:rsid w:val="006A2B0C"/>
    <w:rsid w:val="006B4642"/>
    <w:rsid w:val="006E2BB4"/>
    <w:rsid w:val="006E2C99"/>
    <w:rsid w:val="006E453A"/>
    <w:rsid w:val="006E7C6F"/>
    <w:rsid w:val="006F27DB"/>
    <w:rsid w:val="007004B3"/>
    <w:rsid w:val="00702B4D"/>
    <w:rsid w:val="00704BD5"/>
    <w:rsid w:val="00706C67"/>
    <w:rsid w:val="0071445F"/>
    <w:rsid w:val="0071576D"/>
    <w:rsid w:val="00727ECB"/>
    <w:rsid w:val="0073013E"/>
    <w:rsid w:val="007313BE"/>
    <w:rsid w:val="007329FD"/>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D348C"/>
    <w:rsid w:val="007D51FC"/>
    <w:rsid w:val="007E7634"/>
    <w:rsid w:val="007F5163"/>
    <w:rsid w:val="0080534A"/>
    <w:rsid w:val="00821FE4"/>
    <w:rsid w:val="008263A1"/>
    <w:rsid w:val="00830F17"/>
    <w:rsid w:val="00832A96"/>
    <w:rsid w:val="008342B2"/>
    <w:rsid w:val="0083754E"/>
    <w:rsid w:val="00837CC2"/>
    <w:rsid w:val="00840AB7"/>
    <w:rsid w:val="0085003C"/>
    <w:rsid w:val="00855F6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575A9"/>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49D8"/>
    <w:rsid w:val="00A14E83"/>
    <w:rsid w:val="00A23AAB"/>
    <w:rsid w:val="00A255F2"/>
    <w:rsid w:val="00A36765"/>
    <w:rsid w:val="00A60378"/>
    <w:rsid w:val="00A72158"/>
    <w:rsid w:val="00A82010"/>
    <w:rsid w:val="00A84F32"/>
    <w:rsid w:val="00A97A6B"/>
    <w:rsid w:val="00AB39EF"/>
    <w:rsid w:val="00AC2BB5"/>
    <w:rsid w:val="00AC4985"/>
    <w:rsid w:val="00AD2418"/>
    <w:rsid w:val="00AE0DCB"/>
    <w:rsid w:val="00AE55DC"/>
    <w:rsid w:val="00AF3C5E"/>
    <w:rsid w:val="00B17637"/>
    <w:rsid w:val="00B21758"/>
    <w:rsid w:val="00B319B1"/>
    <w:rsid w:val="00B325D1"/>
    <w:rsid w:val="00B40C53"/>
    <w:rsid w:val="00B63EAC"/>
    <w:rsid w:val="00B72F99"/>
    <w:rsid w:val="00B87B03"/>
    <w:rsid w:val="00B91E01"/>
    <w:rsid w:val="00B95429"/>
    <w:rsid w:val="00BB0408"/>
    <w:rsid w:val="00BB2C13"/>
    <w:rsid w:val="00BC08C8"/>
    <w:rsid w:val="00BC1ED8"/>
    <w:rsid w:val="00BD7ACA"/>
    <w:rsid w:val="00BE4C60"/>
    <w:rsid w:val="00BF0385"/>
    <w:rsid w:val="00BF185C"/>
    <w:rsid w:val="00BF5276"/>
    <w:rsid w:val="00C030CC"/>
    <w:rsid w:val="00C06D65"/>
    <w:rsid w:val="00C562AD"/>
    <w:rsid w:val="00C603A6"/>
    <w:rsid w:val="00C71A5D"/>
    <w:rsid w:val="00C732B1"/>
    <w:rsid w:val="00C73B33"/>
    <w:rsid w:val="00C81D31"/>
    <w:rsid w:val="00C86541"/>
    <w:rsid w:val="00CB52AE"/>
    <w:rsid w:val="00CB5B6D"/>
    <w:rsid w:val="00CC0951"/>
    <w:rsid w:val="00CC1A82"/>
    <w:rsid w:val="00CC6A37"/>
    <w:rsid w:val="00CE4E15"/>
    <w:rsid w:val="00CE6B13"/>
    <w:rsid w:val="00CF4C7D"/>
    <w:rsid w:val="00CF6289"/>
    <w:rsid w:val="00CF7E2C"/>
    <w:rsid w:val="00D02888"/>
    <w:rsid w:val="00D046D6"/>
    <w:rsid w:val="00D11BBC"/>
    <w:rsid w:val="00D12461"/>
    <w:rsid w:val="00D313E8"/>
    <w:rsid w:val="00D32634"/>
    <w:rsid w:val="00D3342E"/>
    <w:rsid w:val="00D3752A"/>
    <w:rsid w:val="00D45963"/>
    <w:rsid w:val="00D45CE1"/>
    <w:rsid w:val="00D53403"/>
    <w:rsid w:val="00D654D6"/>
    <w:rsid w:val="00D93ADD"/>
    <w:rsid w:val="00DA11C0"/>
    <w:rsid w:val="00DA351C"/>
    <w:rsid w:val="00DB118B"/>
    <w:rsid w:val="00DE38F1"/>
    <w:rsid w:val="00DE4CF2"/>
    <w:rsid w:val="00DF10B8"/>
    <w:rsid w:val="00E01811"/>
    <w:rsid w:val="00E03B46"/>
    <w:rsid w:val="00E3414A"/>
    <w:rsid w:val="00E40A11"/>
    <w:rsid w:val="00E4541E"/>
    <w:rsid w:val="00E45DD9"/>
    <w:rsid w:val="00E4708D"/>
    <w:rsid w:val="00E477CC"/>
    <w:rsid w:val="00E517EA"/>
    <w:rsid w:val="00E56825"/>
    <w:rsid w:val="00E56938"/>
    <w:rsid w:val="00E57B38"/>
    <w:rsid w:val="00E7245F"/>
    <w:rsid w:val="00E76A19"/>
    <w:rsid w:val="00E81548"/>
    <w:rsid w:val="00EA3E4B"/>
    <w:rsid w:val="00EA4E63"/>
    <w:rsid w:val="00EC1A09"/>
    <w:rsid w:val="00ED6F44"/>
    <w:rsid w:val="00ED789D"/>
    <w:rsid w:val="00EE180C"/>
    <w:rsid w:val="00F05162"/>
    <w:rsid w:val="00F06554"/>
    <w:rsid w:val="00F10543"/>
    <w:rsid w:val="00F21441"/>
    <w:rsid w:val="00F325C1"/>
    <w:rsid w:val="00F336DA"/>
    <w:rsid w:val="00F3466A"/>
    <w:rsid w:val="00F63A80"/>
    <w:rsid w:val="00F71844"/>
    <w:rsid w:val="00F832E0"/>
    <w:rsid w:val="00F9380F"/>
    <w:rsid w:val="00F96B94"/>
    <w:rsid w:val="00FA4C27"/>
    <w:rsid w:val="00FA5113"/>
    <w:rsid w:val="00FB0BA4"/>
    <w:rsid w:val="00FB0E30"/>
    <w:rsid w:val="00FC3FD5"/>
    <w:rsid w:val="00FC6C30"/>
    <w:rsid w:val="00FD024C"/>
    <w:rsid w:val="00FD2B6A"/>
    <w:rsid w:val="00FE0F73"/>
    <w:rsid w:val="00FF220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D45CE1"/>
    <w:pPr>
      <w:numPr>
        <w:numId w:val="26"/>
      </w:numPr>
      <w:tabs>
        <w:tab w:val="right" w:pos="9015"/>
      </w:tabs>
      <w:spacing w:after="284" w:line="283" w:lineRule="exact"/>
      <w:ind w:left="357" w:hanging="357"/>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iPriority w:val="99"/>
    <w:semiHidde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7F5163"/>
    <w:pPr>
      <w:spacing w:after="0"/>
      <w:ind w:left="360" w:hanging="360"/>
    </w:pPr>
  </w:style>
  <w:style w:type="paragraph" w:customStyle="1" w:styleId="05BAFUGrundschriftAufzhlung2Hierarchie">
    <w:name w:val="05_BAFU_Grundschrift Aufzählung 2. Hierarchie"/>
    <w:basedOn w:val="05BAFUGrundschriftAufzhlung"/>
    <w:qFormat/>
    <w:rsid w:val="009E4826"/>
    <w:pPr>
      <w:numPr>
        <w:ilvl w:val="1"/>
        <w:numId w:val="17"/>
      </w:numPr>
      <w:ind w:left="396" w:hanging="198"/>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Erluterung2">
    <w:name w:val="Erläuterung 2"/>
    <w:basedOn w:val="Standard"/>
    <w:rsid w:val="00CB52AE"/>
    <w:pPr>
      <w:pBdr>
        <w:top w:val="single" w:sz="4" w:space="4" w:color="008080"/>
        <w:left w:val="single" w:sz="4" w:space="2" w:color="008080"/>
        <w:bottom w:val="single" w:sz="4" w:space="4" w:color="008080"/>
        <w:right w:val="single" w:sz="4" w:space="0" w:color="008080"/>
      </w:pBdr>
      <w:shd w:val="pct10" w:color="auto" w:fill="auto"/>
      <w:spacing w:after="0" w:line="280" w:lineRule="atLeast"/>
    </w:pPr>
    <w:rPr>
      <w:rFonts w:ascii="Helvetica" w:eastAsia="Times" w:hAnsi="Helvetica" w:cs="Times New Roman"/>
      <w:i/>
      <w:smallCaps/>
      <w:color w:val="008080"/>
      <w:sz w:val="20"/>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07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Projekte\Publishing\Publikationen\UV%200817%20Aktualisierung%20Betr.%20Sicherheitskonzept%20(ESV)\03-Layout\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13390-31D4-48F0-8900-1A0ECBCEE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Template>
  <TotalTime>0</TotalTime>
  <Pages>2</Pages>
  <Words>359</Words>
  <Characters>2266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Administrator</cp:lastModifiedBy>
  <cp:revision>6</cp:revision>
  <cp:lastPrinted>2019-09-05T12:42:00Z</cp:lastPrinted>
  <dcterms:created xsi:type="dcterms:W3CDTF">2020-02-04T07:40:00Z</dcterms:created>
  <dcterms:modified xsi:type="dcterms:W3CDTF">2020-02-04T07:56:00Z</dcterms:modified>
</cp:coreProperties>
</file>