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1320A9" w:rsidRDefault="009E4C68" w:rsidP="009E4C68">
      <w:pPr>
        <w:pStyle w:val="01BAFUKapiteltitelnummeriert"/>
        <w:numPr>
          <w:ilvl w:val="0"/>
          <w:numId w:val="0"/>
        </w:numPr>
        <w:rPr>
          <w:lang w:val="fr-CH"/>
        </w:rPr>
      </w:pPr>
      <w:bookmarkStart w:id="0" w:name="_Toc12457507"/>
      <w:r w:rsidRPr="001320A9">
        <w:rPr>
          <w:color w:val="B6BDBB"/>
          <w:lang w:val="fr-CH"/>
        </w:rPr>
        <w:t>An</w:t>
      </w:r>
      <w:r w:rsidR="001320A9" w:rsidRPr="001320A9">
        <w:rPr>
          <w:color w:val="B6BDBB"/>
          <w:lang w:val="fr-CH"/>
        </w:rPr>
        <w:t>nexe</w:t>
      </w:r>
      <w:r w:rsidRPr="001320A9">
        <w:rPr>
          <w:color w:val="B6BDBB"/>
          <w:lang w:val="fr-CH"/>
        </w:rPr>
        <w:t xml:space="preserve"> </w:t>
      </w:r>
      <w:r w:rsidR="00AE2978" w:rsidRPr="001320A9">
        <w:rPr>
          <w:color w:val="B6BDBB"/>
          <w:lang w:val="fr-CH"/>
        </w:rPr>
        <w:t>9</w:t>
      </w:r>
      <w:r w:rsidRPr="001320A9">
        <w:rPr>
          <w:lang w:val="fr-CH"/>
        </w:rPr>
        <w:t xml:space="preserve"> </w:t>
      </w:r>
      <w:bookmarkEnd w:id="0"/>
      <w:r w:rsidR="001320A9" w:rsidRPr="001320A9">
        <w:rPr>
          <w:lang w:val="fr-FR"/>
        </w:rPr>
        <w:t>Règles de laboratoire</w:t>
      </w:r>
    </w:p>
    <w:p w:rsidR="001320A9" w:rsidRPr="001320A9" w:rsidRDefault="001320A9" w:rsidP="001320A9">
      <w:pPr>
        <w:pStyle w:val="05BAFUGrundschrift"/>
        <w:spacing w:before="568" w:after="566"/>
        <w:rPr>
          <w:b/>
          <w:color w:val="6C9051" w:themeColor="accent2" w:themeShade="BF"/>
          <w:lang w:val="fr-FR"/>
        </w:rPr>
      </w:pPr>
      <w:r w:rsidRPr="001320A9">
        <w:rPr>
          <w:b/>
          <w:color w:val="6C9051" w:themeColor="accent2" w:themeShade="BF"/>
          <w:lang w:val="fr-FR"/>
        </w:rPr>
        <w:t>Les règles de laboratoire énumérées ci-après correspondent aux principes de bonnes pratiques microbiologiques de l’OPTM</w:t>
      </w:r>
      <w:r w:rsidRPr="001320A9">
        <w:rPr>
          <w:b/>
          <w:color w:val="6C9051" w:themeColor="accent2" w:themeShade="BF"/>
          <w:vertAlign w:val="superscript"/>
          <w:lang w:val="fr-FR"/>
        </w:rPr>
        <w:footnoteReference w:id="1"/>
      </w:r>
      <w:r w:rsidRPr="001320A9">
        <w:rPr>
          <w:b/>
          <w:color w:val="6C9051" w:themeColor="accent2" w:themeShade="BF"/>
          <w:lang w:val="fr-FR"/>
        </w:rPr>
        <w:t> ; elles ont toutefois été étendues et en partie interprétées. Elles tiennent compte des différentes situations pouvant se présenter lors du travail dans des laboratoires de microbiologie et de biologie moléculaire. Ce document doit être adapté aux spécificités de l’entreprise.</w:t>
      </w:r>
    </w:p>
    <w:p w:rsidR="001320A9" w:rsidRPr="001320A9" w:rsidRDefault="001320A9" w:rsidP="001320A9">
      <w:pPr>
        <w:pStyle w:val="02BAFUTitel"/>
        <w:rPr>
          <w:lang w:val="fr-FR" w:eastAsia="de-DE"/>
        </w:rPr>
      </w:pPr>
      <w:r w:rsidRPr="001320A9">
        <w:rPr>
          <w:lang w:val="fr-FR" w:eastAsia="de-DE"/>
        </w:rPr>
        <w:t xml:space="preserve">Règles de base pour travailler en toute sécurité dans un laboratoire </w:t>
      </w:r>
      <w:r w:rsidRPr="001320A9">
        <w:rPr>
          <w:lang w:val="fr-FR" w:eastAsia="de-DE"/>
        </w:rPr>
        <w:br/>
        <w:t>de microbiologie ou de biologie moléculaire</w:t>
      </w:r>
      <w:r w:rsidRPr="001320A9">
        <w:rPr>
          <w:vertAlign w:val="superscript"/>
          <w:lang w:val="fr-FR" w:eastAsia="de-DE"/>
        </w:rPr>
        <w:footnoteReference w:id="2"/>
      </w:r>
    </w:p>
    <w:p w:rsidR="001320A9" w:rsidRPr="001320A9" w:rsidRDefault="001320A9" w:rsidP="001E0E8F">
      <w:pPr>
        <w:pStyle w:val="05BAFUGrundschriftohneAbstanddanach"/>
        <w:numPr>
          <w:ilvl w:val="0"/>
          <w:numId w:val="50"/>
        </w:numPr>
        <w:ind w:left="357" w:hanging="357"/>
        <w:rPr>
          <w:lang w:val="fr-FR"/>
        </w:rPr>
      </w:pPr>
      <w:r w:rsidRPr="001320A9">
        <w:rPr>
          <w:lang w:val="fr-FR"/>
        </w:rPr>
        <w:t>Les fenêtres et les portes des zones de travail doivent être fermées pendant le travail.</w:t>
      </w:r>
    </w:p>
    <w:p w:rsidR="001320A9" w:rsidRPr="001320A9" w:rsidRDefault="001320A9" w:rsidP="001E0E8F">
      <w:pPr>
        <w:pStyle w:val="05BAFUGrundschriftohneAbstanddanach"/>
        <w:numPr>
          <w:ilvl w:val="0"/>
          <w:numId w:val="50"/>
        </w:numPr>
        <w:ind w:left="357" w:hanging="357"/>
        <w:rPr>
          <w:lang w:val="fr-FR"/>
        </w:rPr>
      </w:pPr>
      <w:r w:rsidRPr="001320A9">
        <w:rPr>
          <w:lang w:val="fr-FR"/>
        </w:rPr>
        <w:t>Il est interdit de boire, de manger, de fumer ou de priser, d’utiliser des produits cosmétiques ou d’entreposer de la nourriture dans les zones de travail.</w:t>
      </w:r>
    </w:p>
    <w:p w:rsidR="001320A9" w:rsidRPr="001320A9" w:rsidRDefault="001320A9" w:rsidP="001E0E8F">
      <w:pPr>
        <w:pStyle w:val="05BAFUGrundschriftohneAbstanddanach"/>
        <w:numPr>
          <w:ilvl w:val="0"/>
          <w:numId w:val="50"/>
        </w:numPr>
        <w:ind w:left="357" w:hanging="357"/>
        <w:rPr>
          <w:lang w:val="fr-FR"/>
        </w:rPr>
      </w:pPr>
      <w:r w:rsidRPr="001320A9">
        <w:rPr>
          <w:lang w:val="fr-FR"/>
        </w:rPr>
        <w:t xml:space="preserve">En cas d’utilisation de matériel toxique ou cancérogène ou de microorganismes, le port d’une blouse de laboratoire ou de tout autre vêtement de protection prescrit est obligatoire dans les locaux de travail. Ceci signifie concrètement que : </w:t>
      </w:r>
    </w:p>
    <w:p w:rsidR="001320A9" w:rsidRPr="001320A9" w:rsidRDefault="001320A9" w:rsidP="001320A9">
      <w:pPr>
        <w:pStyle w:val="05BAFUGrundschriftAufzhlung"/>
        <w:rPr>
          <w:lang w:val="fr-FR"/>
        </w:rPr>
      </w:pPr>
      <w:r w:rsidRPr="001320A9">
        <w:rPr>
          <w:lang w:val="fr-FR"/>
        </w:rPr>
        <w:t xml:space="preserve">les gants contaminés doivent être nettoyés ou remplacés immédiatement ; </w:t>
      </w:r>
    </w:p>
    <w:p w:rsidR="001320A9" w:rsidRPr="001320A9" w:rsidRDefault="001320A9" w:rsidP="001320A9">
      <w:pPr>
        <w:pStyle w:val="05BAFUGrundschriftAufzhlung"/>
        <w:rPr>
          <w:lang w:val="fr-FR"/>
        </w:rPr>
      </w:pPr>
      <w:r w:rsidRPr="001320A9">
        <w:rPr>
          <w:lang w:val="fr-FR"/>
        </w:rPr>
        <w:t>lors de l’utilisation de gants, il faut veiller à ne pas disséminer des organismes ou des substances dangereuses en téléphonant, en ouvrant tous types de portes, en utilisant les robinets, etc. ;</w:t>
      </w:r>
    </w:p>
    <w:p w:rsidR="001320A9" w:rsidRPr="001320A9" w:rsidRDefault="001320A9" w:rsidP="001320A9">
      <w:pPr>
        <w:pStyle w:val="05BAFUGrundschriftAufzhlung"/>
        <w:rPr>
          <w:lang w:val="fr-FR"/>
        </w:rPr>
      </w:pPr>
      <w:r w:rsidRPr="001320A9">
        <w:rPr>
          <w:lang w:val="fr-FR"/>
        </w:rPr>
        <w:t>dans la zone de travail, le port de lunettes de sécurité avec protection latérale et si possible couverture de la zone oculaire supérieure est obligatoire lors de l’utilisation de produits biologiques ou chimiques dangereux ; les porteurs de lunettes peuvent porter des lunettes de sécurité avec correction optique ou alors une surlunette par-dessus leurs lunettes optiques. Le port de lunettes de sécurité n’est pas nécessaire pour les travaux effectués dans un poste de sécurité microbiologique ;</w:t>
      </w:r>
    </w:p>
    <w:p w:rsidR="001320A9" w:rsidRPr="001320A9" w:rsidRDefault="001320A9" w:rsidP="001320A9">
      <w:pPr>
        <w:pStyle w:val="05BAFUGrundschriftAufzhlung"/>
        <w:rPr>
          <w:lang w:val="fr-FR"/>
        </w:rPr>
      </w:pPr>
      <w:r w:rsidRPr="001320A9">
        <w:rPr>
          <w:lang w:val="fr-FR"/>
        </w:rPr>
        <w:t xml:space="preserve">les vêtements de protection doivent être enlevés avant de quitter les zones de travail ; </w:t>
      </w:r>
    </w:p>
    <w:p w:rsidR="001320A9" w:rsidRPr="001320A9" w:rsidRDefault="001320A9" w:rsidP="001320A9">
      <w:pPr>
        <w:pStyle w:val="05BAFUGrundschriftAufzhlung"/>
        <w:rPr>
          <w:lang w:val="fr-FR"/>
        </w:rPr>
      </w:pPr>
      <w:r w:rsidRPr="001320A9">
        <w:rPr>
          <w:lang w:val="fr-FR"/>
        </w:rPr>
        <w:t>les gants ne doivent pas être portés à l’extérieur des laboratoires.</w:t>
      </w:r>
    </w:p>
    <w:p w:rsidR="001320A9" w:rsidRPr="001320A9" w:rsidRDefault="001320A9" w:rsidP="001E0E8F">
      <w:pPr>
        <w:pStyle w:val="05BAFUGrundschriftohneAbstanddanach"/>
        <w:numPr>
          <w:ilvl w:val="0"/>
          <w:numId w:val="50"/>
        </w:numPr>
        <w:ind w:left="357" w:hanging="357"/>
        <w:rPr>
          <w:lang w:val="fr-FR"/>
        </w:rPr>
      </w:pPr>
      <w:r w:rsidRPr="001320A9">
        <w:rPr>
          <w:lang w:val="fr-FR"/>
        </w:rPr>
        <w:t>Il est interdit d’utiliser des pipettes à bouche ; il y a lieu d’utiliser des auxiliaires de pipetage.</w:t>
      </w:r>
    </w:p>
    <w:p w:rsidR="001320A9" w:rsidRDefault="001320A9" w:rsidP="00CC7BE5">
      <w:pPr>
        <w:pStyle w:val="05BAFUGrundschriftohneAbstanddanach"/>
        <w:numPr>
          <w:ilvl w:val="0"/>
          <w:numId w:val="50"/>
        </w:numPr>
        <w:spacing w:after="283"/>
        <w:ind w:left="357" w:hanging="357"/>
        <w:rPr>
          <w:lang w:val="fr-FR"/>
        </w:rPr>
      </w:pPr>
      <w:r w:rsidRPr="001320A9">
        <w:rPr>
          <w:lang w:val="fr-FR"/>
        </w:rPr>
        <w:t>L’utilisation d’aiguilles hypodermiques et de seringues doit être limitée au minimum indispensable ; après emploi, elles doivent être éliminées de manière appropriée</w:t>
      </w:r>
      <w:r w:rsidRPr="00CC7BE5">
        <w:rPr>
          <w:vertAlign w:val="superscript"/>
        </w:rPr>
        <w:footnoteReference w:id="3"/>
      </w:r>
      <w:r w:rsidRPr="001320A9">
        <w:rPr>
          <w:lang w:val="fr-FR"/>
        </w:rPr>
        <w:t>.</w:t>
      </w:r>
    </w:p>
    <w:p w:rsidR="001320A9" w:rsidRPr="001320A9" w:rsidRDefault="001320A9" w:rsidP="00A51A24">
      <w:pPr>
        <w:pStyle w:val="05BAFUGrundschrift"/>
        <w:rPr>
          <w:lang w:val="fr-FR"/>
        </w:rPr>
      </w:pPr>
      <w:r w:rsidRPr="001320A9">
        <w:rPr>
          <w:lang w:val="fr-FR"/>
        </w:rPr>
        <w:t>Lors de toutes les manipulations, il faut veiller à éviter autant que possible la production d’aérosols.</w:t>
      </w:r>
    </w:p>
    <w:p w:rsidR="001320A9" w:rsidRPr="001320A9" w:rsidRDefault="001320A9" w:rsidP="00A51A24">
      <w:pPr>
        <w:pStyle w:val="05BAFUGrundschriftohneAbstanddanach"/>
        <w:numPr>
          <w:ilvl w:val="0"/>
          <w:numId w:val="50"/>
        </w:numPr>
        <w:ind w:left="357" w:hanging="357"/>
        <w:rPr>
          <w:lang w:val="fr-FR"/>
        </w:rPr>
      </w:pPr>
      <w:r w:rsidRPr="001320A9">
        <w:rPr>
          <w:lang w:val="fr-FR"/>
        </w:rPr>
        <w:t xml:space="preserve">Il convient de se laver soigneusement les mains une fois le travail terminé ou avant de quitter la zone de travail et, le cas échéant, de les désinfecter et d’appliquer une crème ; veiller à une bonne protection de la peau. </w:t>
      </w:r>
    </w:p>
    <w:p w:rsidR="001320A9" w:rsidRPr="001320A9" w:rsidRDefault="001320A9" w:rsidP="00164010">
      <w:pPr>
        <w:pStyle w:val="05BAFUGrundschriftohneAbstanddanach"/>
        <w:numPr>
          <w:ilvl w:val="0"/>
          <w:numId w:val="50"/>
        </w:numPr>
        <w:ind w:left="357" w:hanging="357"/>
        <w:rPr>
          <w:lang w:val="fr-FR"/>
        </w:rPr>
      </w:pPr>
      <w:r w:rsidRPr="001320A9">
        <w:rPr>
          <w:lang w:val="fr-FR"/>
        </w:rPr>
        <w:t xml:space="preserve">Les zones de travail doivent être parfaitement propres et en ordre. Les postes de travail doivent être désinfectés selon le concept d’hygiène avant et après leur utilisation. Les paillasses ne doivent comporter </w:t>
      </w:r>
      <w:r w:rsidRPr="001320A9">
        <w:rPr>
          <w:lang w:val="fr-FR"/>
        </w:rPr>
        <w:lastRenderedPageBreak/>
        <w:t>que les appareils et le matériel effectivement employés. Les réserves ne sont stockées que dans les zones ou les armoires prévues à cet effet.</w:t>
      </w:r>
      <w:r w:rsidRPr="00E0579F">
        <w:rPr>
          <w:vertAlign w:val="superscript"/>
        </w:rPr>
        <w:footnoteReference w:id="4"/>
      </w:r>
    </w:p>
    <w:p w:rsidR="001320A9" w:rsidRPr="001320A9" w:rsidRDefault="001320A9" w:rsidP="006D1973">
      <w:pPr>
        <w:pStyle w:val="05BAFUGrundschriftohneAbstanddanach"/>
        <w:numPr>
          <w:ilvl w:val="0"/>
          <w:numId w:val="50"/>
        </w:numPr>
        <w:ind w:left="357" w:hanging="357"/>
        <w:rPr>
          <w:i/>
          <w:lang w:val="fr-FR"/>
        </w:rPr>
      </w:pPr>
      <w:r w:rsidRPr="001320A9">
        <w:rPr>
          <w:lang w:val="fr-FR"/>
        </w:rPr>
        <w:t xml:space="preserve">L’identité des microorganismes utilisés est vérifiée lorsqu’il existe une certaine probabilité de contamination par des organismes pathogènes ou lorsqu’elle est nécessaire pour l’évaluation du potentiel de danger. </w:t>
      </w:r>
      <w:r w:rsidRPr="001320A9">
        <w:rPr>
          <w:lang w:val="fr-FR"/>
        </w:rPr>
        <w:br/>
      </w:r>
      <w:r w:rsidRPr="006D1973">
        <w:rPr>
          <w:b/>
          <w:color w:val="6C9051" w:themeColor="accent2" w:themeShade="BF"/>
        </w:rPr>
        <w:t xml:space="preserve">Chez (nom de l’entreprise), les principes d’identification des microorganismes sont réglés dans une directive interne séparée. </w:t>
      </w:r>
    </w:p>
    <w:p w:rsidR="001320A9" w:rsidRPr="001320A9" w:rsidRDefault="001320A9" w:rsidP="006D1973">
      <w:pPr>
        <w:pStyle w:val="05BAFUGrundschriftohneAbstanddanach"/>
        <w:numPr>
          <w:ilvl w:val="0"/>
          <w:numId w:val="50"/>
        </w:numPr>
        <w:ind w:left="357" w:hanging="357"/>
        <w:rPr>
          <w:lang w:val="fr-FR"/>
        </w:rPr>
      </w:pPr>
      <w:r w:rsidRPr="001320A9">
        <w:rPr>
          <w:lang w:val="fr-FR"/>
        </w:rPr>
        <w:t>Lors de l’utilisation de microorganismes, les travailleurs d</w:t>
      </w:r>
      <w:bookmarkStart w:id="1" w:name="_GoBack"/>
      <w:bookmarkEnd w:id="1"/>
      <w:r w:rsidRPr="001320A9">
        <w:rPr>
          <w:lang w:val="fr-FR"/>
        </w:rPr>
        <w:t>oivent être informés oralement et de manière concrète (en fonction de leurs connaissances) avant de commencer leur activité.</w:t>
      </w:r>
      <w:r w:rsidRPr="001320A9">
        <w:rPr>
          <w:vertAlign w:val="superscript"/>
        </w:rPr>
        <w:footnoteReference w:id="5"/>
      </w:r>
    </w:p>
    <w:p w:rsidR="001320A9" w:rsidRPr="001320A9" w:rsidRDefault="001320A9" w:rsidP="006D1973">
      <w:pPr>
        <w:pStyle w:val="05BAFUGrundschriftohneAbstanddanach"/>
        <w:numPr>
          <w:ilvl w:val="0"/>
          <w:numId w:val="50"/>
        </w:numPr>
        <w:ind w:left="357" w:hanging="357"/>
        <w:rPr>
          <w:lang w:val="fr-FR"/>
        </w:rPr>
      </w:pPr>
      <w:r w:rsidRPr="001320A9">
        <w:rPr>
          <w:lang w:val="fr-FR"/>
        </w:rPr>
        <w:t>Les insectes et rongeurs doivent être détruits périodiquement.</w:t>
      </w:r>
    </w:p>
    <w:p w:rsidR="001320A9" w:rsidRPr="001320A9" w:rsidRDefault="001320A9" w:rsidP="006D1973">
      <w:pPr>
        <w:pStyle w:val="05BAFUGrundschriftohneAbstanddanach"/>
        <w:numPr>
          <w:ilvl w:val="0"/>
          <w:numId w:val="50"/>
        </w:numPr>
        <w:ind w:left="357" w:hanging="357"/>
        <w:rPr>
          <w:lang w:val="fr-FR"/>
        </w:rPr>
      </w:pPr>
      <w:r w:rsidRPr="001320A9">
        <w:rPr>
          <w:lang w:val="fr-FR"/>
        </w:rPr>
        <w:t>Il y a lieu de limiter autant que possible le dépôt et l’utilisation d’objets personnels (p. ex. sacs, téléphones portables, etc.) dans la zone de travail.</w:t>
      </w:r>
    </w:p>
    <w:p w:rsidR="001320A9" w:rsidRPr="001320A9" w:rsidRDefault="001320A9" w:rsidP="006D1973">
      <w:pPr>
        <w:pStyle w:val="05BAFUGrundschriftohneAbstanddanach"/>
        <w:numPr>
          <w:ilvl w:val="0"/>
          <w:numId w:val="50"/>
        </w:numPr>
        <w:ind w:left="357" w:hanging="357"/>
        <w:rPr>
          <w:lang w:val="fr-FR"/>
        </w:rPr>
      </w:pPr>
      <w:r w:rsidRPr="001320A9">
        <w:rPr>
          <w:lang w:val="fr-FR"/>
        </w:rPr>
        <w:t>Les appareils contaminés doivent être autoclavés ou désinfectés avant d’être nettoyés.</w:t>
      </w:r>
    </w:p>
    <w:p w:rsidR="001320A9" w:rsidRPr="001320A9" w:rsidRDefault="001320A9" w:rsidP="006D1973">
      <w:pPr>
        <w:pStyle w:val="05BAFUGrundschriftohneAbstanddanach"/>
        <w:numPr>
          <w:ilvl w:val="0"/>
          <w:numId w:val="50"/>
        </w:numPr>
        <w:ind w:left="357" w:hanging="357"/>
        <w:rPr>
          <w:lang w:val="fr-FR"/>
        </w:rPr>
      </w:pPr>
      <w:r w:rsidRPr="001320A9">
        <w:rPr>
          <w:lang w:val="fr-FR"/>
        </w:rPr>
        <w:t xml:space="preserve">Les déchets contenant des agents pathogènes doivent être collectés conformément aux directives du concept d’élimination et inactivés par autoclavage ou désinfection. </w:t>
      </w:r>
    </w:p>
    <w:p w:rsidR="001320A9" w:rsidRPr="001320A9" w:rsidRDefault="001320A9" w:rsidP="006D1973">
      <w:pPr>
        <w:pStyle w:val="05BAFUGrundschriftohneAbstanddanach"/>
        <w:numPr>
          <w:ilvl w:val="0"/>
          <w:numId w:val="50"/>
        </w:numPr>
        <w:ind w:left="357" w:hanging="357"/>
        <w:rPr>
          <w:lang w:val="fr-FR"/>
        </w:rPr>
      </w:pPr>
      <w:r w:rsidRPr="001320A9">
        <w:rPr>
          <w:lang w:val="fr-FR"/>
        </w:rPr>
        <w:t>Si du matériel infectieux est répandu, la zone contaminée doit immédiatement être interdite d’accès et désinfectée. Les incidents significatifs du point de vue de la sécurité survenant au laboratoire doivent être déclarés aux responsables de la sécurité biologique.</w:t>
      </w:r>
      <w:bookmarkStart w:id="2" w:name="_Ref493652830"/>
      <w:r w:rsidRPr="001320A9">
        <w:rPr>
          <w:vertAlign w:val="superscript"/>
        </w:rPr>
        <w:footnoteReference w:id="6"/>
      </w:r>
      <w:bookmarkEnd w:id="2"/>
      <w:r w:rsidRPr="001320A9">
        <w:rPr>
          <w:lang w:val="fr-FR"/>
        </w:rPr>
        <w:t xml:space="preserve"> </w:t>
      </w:r>
    </w:p>
    <w:p w:rsidR="001320A9" w:rsidRPr="001320A9" w:rsidRDefault="001320A9" w:rsidP="006D1973">
      <w:pPr>
        <w:pStyle w:val="05BAFUGrundschriftohneAbstanddanach"/>
        <w:numPr>
          <w:ilvl w:val="0"/>
          <w:numId w:val="50"/>
        </w:numPr>
        <w:ind w:left="357" w:hanging="357"/>
        <w:rPr>
          <w:lang w:val="fr-FR"/>
        </w:rPr>
      </w:pPr>
      <w:r w:rsidRPr="001320A9">
        <w:rPr>
          <w:lang w:val="fr-FR"/>
        </w:rPr>
        <w:t>Les indications concernant les premiers soins lors d’accidents impliquant des organismes pathogènes doivent être à portée de mains immédiate dans la zone de travail. Tous les accidents doivent être signalés aux supérieurs hiérarchiques compétents et aux responsables de la sécurité biologique.</w:t>
      </w:r>
      <w:r w:rsidRPr="001320A9">
        <w:rPr>
          <w:vertAlign w:val="superscript"/>
          <w:lang w:val="fr-FR"/>
        </w:rPr>
        <w:footnoteReference w:id="7"/>
      </w:r>
    </w:p>
    <w:p w:rsidR="001320A9" w:rsidRPr="001320A9" w:rsidRDefault="001320A9" w:rsidP="006D1973">
      <w:pPr>
        <w:pStyle w:val="05BAFUGrundschriftohneAbstanddanach"/>
        <w:numPr>
          <w:ilvl w:val="0"/>
          <w:numId w:val="50"/>
        </w:numPr>
        <w:ind w:left="357" w:hanging="357"/>
        <w:rPr>
          <w:lang w:val="fr-FR"/>
        </w:rPr>
      </w:pPr>
      <w:r w:rsidRPr="001320A9">
        <w:rPr>
          <w:lang w:val="fr-FR"/>
        </w:rPr>
        <w:t>Les femmes enceintes ou allaitantes ne doivent pas manipuler des microorganismes infectieux pathogènes pour l’homme ou des matières qui en contiennent. Les exceptions sont réglées dans l’ordonnance sur la protection de la maternité.</w:t>
      </w:r>
      <w:r w:rsidRPr="001320A9">
        <w:rPr>
          <w:vertAlign w:val="superscript"/>
        </w:rPr>
        <w:footnoteReference w:id="8"/>
      </w:r>
      <w:r w:rsidRPr="001320A9">
        <w:rPr>
          <w:lang w:val="fr-FR"/>
        </w:rPr>
        <w:t xml:space="preserve"> </w:t>
      </w:r>
    </w:p>
    <w:p w:rsidR="001320A9" w:rsidRPr="001320A9" w:rsidRDefault="001320A9" w:rsidP="006D1973">
      <w:pPr>
        <w:pStyle w:val="05BAFUGrundschriftohneAbstanddanach"/>
        <w:numPr>
          <w:ilvl w:val="0"/>
          <w:numId w:val="50"/>
        </w:numPr>
        <w:ind w:left="357" w:hanging="357"/>
        <w:rPr>
          <w:lang w:val="fr-FR"/>
        </w:rPr>
      </w:pPr>
      <w:r w:rsidRPr="001320A9">
        <w:rPr>
          <w:lang w:val="fr-FR"/>
        </w:rPr>
        <w:t>Avant d’utiliser des produits chimiques dangereux et avant d’effectuer des essais au cours desquels des substances dangereuses pourraient éventuellement être libérées, il faut évaluer le risque potentiel et prendre les mesures de sécurité qui s’imposent. Lors de travaux avec des produits chimiques dangereux, il y a lieu de prendre en considération les précautions mentionnées dans les fiches de données de sécurité correspondantes et de préciser, dans les différentes directives internes à l’entreprise, les règles de comportement s’appliquant à l’utilisation de ces substances (p. ex. bromure d’éthidium, produits toxiques pour les cellules, etc.).</w:t>
      </w:r>
    </w:p>
    <w:p w:rsidR="001320A9" w:rsidRPr="001320A9" w:rsidRDefault="001320A9" w:rsidP="006D1973">
      <w:pPr>
        <w:pStyle w:val="05BAFUGrundschriftohneAbstanddanach"/>
        <w:numPr>
          <w:ilvl w:val="0"/>
          <w:numId w:val="50"/>
        </w:numPr>
        <w:ind w:left="357" w:hanging="357"/>
        <w:rPr>
          <w:lang w:val="fr-FR"/>
        </w:rPr>
      </w:pPr>
      <w:r w:rsidRPr="001320A9">
        <w:rPr>
          <w:lang w:val="fr-FR"/>
        </w:rPr>
        <w:t>Les travaux avec des produits toxiques ou d’odeur nauséabonde et avec des gaz facilement inflammables peuvent uniquement être effectués sous une hotte. Il y a lieu de prendre en considération les mesures de sécurité supplémentaires nécessaires dans chaque cas.</w:t>
      </w:r>
    </w:p>
    <w:p w:rsidR="001320A9" w:rsidRPr="001320A9" w:rsidRDefault="001320A9" w:rsidP="006D1973">
      <w:pPr>
        <w:pStyle w:val="05BAFUGrundschriftohneAbstanddanach"/>
        <w:numPr>
          <w:ilvl w:val="0"/>
          <w:numId w:val="50"/>
        </w:numPr>
        <w:ind w:left="357" w:hanging="357"/>
        <w:rPr>
          <w:lang w:val="fr-FR"/>
        </w:rPr>
      </w:pPr>
      <w:r w:rsidRPr="001320A9">
        <w:rPr>
          <w:lang w:val="fr-FR"/>
        </w:rPr>
        <w:t xml:space="preserve">Les liquides devant être entreposés au frais ainsi que les produits très inflammables ou facilement inflammables doivent uniquement être conservés dans des réfrigérateurs ou des installations de congélation dont l’intérieur est protégé contre les explosions. </w:t>
      </w:r>
    </w:p>
    <w:p w:rsidR="001320A9" w:rsidRPr="001320A9" w:rsidRDefault="001320A9" w:rsidP="006D1973">
      <w:pPr>
        <w:pStyle w:val="05BAFUGrundschriftohneAbstanddanach"/>
        <w:numPr>
          <w:ilvl w:val="0"/>
          <w:numId w:val="50"/>
        </w:numPr>
        <w:ind w:left="357" w:hanging="357"/>
        <w:rPr>
          <w:lang w:val="fr-FR"/>
        </w:rPr>
      </w:pPr>
      <w:r w:rsidRPr="001320A9">
        <w:rPr>
          <w:lang w:val="fr-FR"/>
        </w:rPr>
        <w:lastRenderedPageBreak/>
        <w:t>Les bouteilles (de gaz) sous pression doivent toujours être attachées ou enchaînées (p. ex. à la paillasse) pour éviter qu’elles ne se renversent. Elles ne peuvent être déplacées qu’avec le chariot de transport prévu à cet effet.</w:t>
      </w:r>
    </w:p>
    <w:p w:rsidR="001320A9" w:rsidRPr="001320A9" w:rsidRDefault="001320A9" w:rsidP="006D1973">
      <w:pPr>
        <w:pStyle w:val="05BAFUGrundschriftohneAbstanddanach"/>
        <w:numPr>
          <w:ilvl w:val="0"/>
          <w:numId w:val="50"/>
        </w:numPr>
        <w:ind w:left="357" w:hanging="357"/>
        <w:rPr>
          <w:lang w:val="fr-FR"/>
        </w:rPr>
      </w:pPr>
      <w:r w:rsidRPr="001320A9">
        <w:rPr>
          <w:lang w:val="fr-FR"/>
        </w:rPr>
        <w:t>Lors de l’utilisation d’isotopes radioactifs, les règles de laboratoire s’appliquant au travail avec des rayonnements ionisants doivent être respectées.</w:t>
      </w:r>
    </w:p>
    <w:p w:rsidR="001320A9" w:rsidRPr="001320A9" w:rsidRDefault="001320A9" w:rsidP="001320A9">
      <w:pPr>
        <w:spacing w:after="0" w:line="240" w:lineRule="exact"/>
        <w:jc w:val="both"/>
        <w:rPr>
          <w:rFonts w:ascii="Helvetica" w:eastAsia="Times" w:hAnsi="Helvetica" w:cs="Times New Roman"/>
          <w:sz w:val="20"/>
          <w:szCs w:val="20"/>
          <w:lang w:val="fr-FR" w:eastAsia="de-DE"/>
        </w:rPr>
      </w:pPr>
    </w:p>
    <w:p w:rsidR="00077368" w:rsidRPr="001320A9" w:rsidRDefault="00077368" w:rsidP="00592236">
      <w:pPr>
        <w:pStyle w:val="05BAFUGrundschriftAufzhlung"/>
        <w:numPr>
          <w:ilvl w:val="0"/>
          <w:numId w:val="0"/>
        </w:numPr>
        <w:ind w:left="360"/>
        <w:rPr>
          <w:lang w:val="fr-FR"/>
        </w:rPr>
      </w:pP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203AE3" w:rsidRPr="00843E20" w:rsidTr="00592236">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203AE3" w:rsidRPr="00CF6289" w:rsidRDefault="00E118C9" w:rsidP="005C05FC">
            <w:pPr>
              <w:pStyle w:val="07BAFUTabellelinks"/>
            </w:pPr>
            <w:proofErr w:type="spellStart"/>
            <w:r>
              <w:rPr>
                <w:color w:val="6C9051" w:themeColor="accent2" w:themeShade="BF"/>
              </w:rPr>
              <w:t>Redige</w:t>
            </w:r>
            <w:proofErr w:type="spellEnd"/>
            <w:r>
              <w:rPr>
                <w:color w:val="6C9051" w:themeColor="accent2" w:themeShade="BF"/>
              </w:rPr>
              <w:t>/</w:t>
            </w:r>
            <w:proofErr w:type="spellStart"/>
            <w:r>
              <w:rPr>
                <w:color w:val="6C9051" w:themeColor="accent2" w:themeShade="BF"/>
              </w:rPr>
              <w:t>Approuve</w:t>
            </w:r>
            <w:proofErr w:type="spellEnd"/>
            <w:r>
              <w:rPr>
                <w:color w:val="6C9051" w:themeColor="accent2" w:themeShade="BF"/>
              </w:rPr>
              <w:t xml:space="preserve"> par</w:t>
            </w:r>
          </w:p>
        </w:tc>
        <w:tc>
          <w:tcPr>
            <w:tcW w:w="7487" w:type="dxa"/>
            <w:tcBorders>
              <w:bottom w:val="nil"/>
              <w:right w:val="single" w:sz="4" w:space="0" w:color="FFFFFF" w:themeColor="background1"/>
            </w:tcBorders>
            <w:shd w:val="clear" w:color="auto" w:fill="F2F2F2" w:themeFill="background1" w:themeFillShade="F2"/>
          </w:tcPr>
          <w:p w:rsidR="00203AE3" w:rsidRPr="00CF6289" w:rsidRDefault="00203AE3" w:rsidP="005C05FC">
            <w:pPr>
              <w:pStyle w:val="07BAFUTabellelinks"/>
              <w:cnfStyle w:val="100000000000" w:firstRow="1" w:lastRow="0" w:firstColumn="0" w:lastColumn="0" w:oddVBand="0" w:evenVBand="0" w:oddHBand="0" w:evenHBand="0" w:firstRowFirstColumn="0" w:firstRowLastColumn="0" w:lastRowFirstColumn="0" w:lastRowLastColumn="0"/>
            </w:pPr>
          </w:p>
        </w:tc>
      </w:tr>
      <w:tr w:rsidR="00203AE3" w:rsidRPr="00843E20" w:rsidTr="00592236">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203AE3" w:rsidRPr="00CF6289" w:rsidRDefault="00E118C9" w:rsidP="005C05FC">
            <w:pPr>
              <w:pStyle w:val="07BAFUTabellelinks"/>
            </w:pPr>
            <w:r>
              <w:rPr>
                <w:color w:val="6C9051" w:themeColor="accent2" w:themeShade="BF"/>
              </w:rPr>
              <w:t>Date</w:t>
            </w:r>
          </w:p>
        </w:tc>
        <w:tc>
          <w:tcPr>
            <w:tcW w:w="7487" w:type="dxa"/>
            <w:tcBorders>
              <w:top w:val="nil"/>
              <w:bottom w:val="nil"/>
              <w:right w:val="single" w:sz="4" w:space="0" w:color="FFFFFF" w:themeColor="background1"/>
            </w:tcBorders>
          </w:tcPr>
          <w:p w:rsidR="00203AE3" w:rsidRPr="00CF6289" w:rsidRDefault="00203AE3" w:rsidP="005C05FC">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757" w:rsidRDefault="00E47757" w:rsidP="00DE38F1">
      <w:pPr>
        <w:spacing w:after="0" w:line="240" w:lineRule="auto"/>
      </w:pPr>
      <w:r>
        <w:separator/>
      </w:r>
    </w:p>
  </w:endnote>
  <w:endnote w:type="continuationSeparator" w:id="0">
    <w:p w:rsidR="00E47757" w:rsidRDefault="00E47757"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modern"/>
    <w:notTrueType/>
    <w:pitch w:val="variable"/>
    <w:sig w:usb0="E00002FF" w:usb1="5000785B"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757" w:rsidRDefault="00E47757" w:rsidP="00DE38F1">
      <w:pPr>
        <w:spacing w:after="0" w:line="240" w:lineRule="auto"/>
      </w:pPr>
    </w:p>
  </w:footnote>
  <w:footnote w:type="continuationSeparator" w:id="0">
    <w:p w:rsidR="00E47757" w:rsidRDefault="00E47757" w:rsidP="00DE38F1">
      <w:pPr>
        <w:spacing w:after="0" w:line="240" w:lineRule="auto"/>
      </w:pPr>
      <w:r>
        <w:continuationSeparator/>
      </w:r>
    </w:p>
  </w:footnote>
  <w:footnote w:id="1">
    <w:p w:rsidR="001320A9" w:rsidRPr="00CC7BE5" w:rsidRDefault="001320A9" w:rsidP="00CC7BE5">
      <w:pPr>
        <w:pStyle w:val="05BAFUFussnote"/>
        <w:rPr>
          <w:lang w:val="fr-CH"/>
        </w:rPr>
      </w:pPr>
      <w:r>
        <w:rPr>
          <w:rStyle w:val="Funotenzeichen"/>
        </w:rPr>
        <w:footnoteRef/>
      </w:r>
      <w:r w:rsidR="00CC7BE5" w:rsidRPr="00CC7BE5">
        <w:rPr>
          <w:lang w:val="fr-CH"/>
        </w:rPr>
        <w:t xml:space="preserve"> </w:t>
      </w:r>
      <w:r w:rsidRPr="00CC7BE5">
        <w:rPr>
          <w:lang w:val="fr-CH"/>
        </w:rPr>
        <w:t>Selon l’annexe de l’ordonnance du 25 août 1999 sur la protection des travailleurs contre les risques liés à des microorganismes (OPTM</w:t>
      </w:r>
      <w:r w:rsidRPr="00CC7BE5">
        <w:rPr>
          <w:color w:val="000000"/>
          <w:lang w:val="fr-CH"/>
        </w:rPr>
        <w:t>).</w:t>
      </w:r>
    </w:p>
  </w:footnote>
  <w:footnote w:id="2">
    <w:p w:rsidR="001320A9" w:rsidRPr="009800F8" w:rsidRDefault="001320A9" w:rsidP="00CC7BE5">
      <w:pPr>
        <w:pStyle w:val="05BAFUFussnote"/>
      </w:pPr>
      <w:r w:rsidRPr="00315B5F">
        <w:rPr>
          <w:rStyle w:val="Funotenzeichen"/>
          <w:lang w:val="fr-FR"/>
        </w:rPr>
        <w:footnoteRef/>
      </w:r>
      <w:r w:rsidRPr="00CC7BE5">
        <w:rPr>
          <w:lang w:val="fr-CH"/>
        </w:rPr>
        <w:t xml:space="preserve"> S’appliquent de la même manière aux cellules de culture. </w:t>
      </w:r>
      <w:r>
        <w:t xml:space="preserve">Les </w:t>
      </w:r>
      <w:proofErr w:type="spellStart"/>
      <w:r>
        <w:t>points</w:t>
      </w:r>
      <w:proofErr w:type="spellEnd"/>
      <w:r>
        <w:t> </w:t>
      </w:r>
      <w:r w:rsidRPr="00315B5F">
        <w:t xml:space="preserve">1 </w:t>
      </w:r>
      <w:r>
        <w:t>à</w:t>
      </w:r>
      <w:r w:rsidRPr="00315B5F">
        <w:t xml:space="preserve"> 11 </w:t>
      </w:r>
      <w:r>
        <w:t xml:space="preserve">correspondent aux </w:t>
      </w:r>
      <w:r>
        <w:rPr>
          <w:i/>
        </w:rPr>
        <w:t xml:space="preserve">principes de </w:t>
      </w:r>
      <w:r w:rsidRPr="009800F8">
        <w:rPr>
          <w:i/>
        </w:rPr>
        <w:t>bonnes pratiques microbiologiques</w:t>
      </w:r>
      <w:r w:rsidRPr="009800F8">
        <w:t>.</w:t>
      </w:r>
    </w:p>
  </w:footnote>
  <w:footnote w:id="3">
    <w:p w:rsidR="001320A9" w:rsidRPr="00CC7BE5" w:rsidRDefault="001320A9" w:rsidP="00CC7BE5">
      <w:pPr>
        <w:pStyle w:val="05BAFUFussnote"/>
        <w:rPr>
          <w:i/>
          <w:color w:val="008080"/>
          <w:lang w:val="fr-CH"/>
        </w:rPr>
      </w:pPr>
      <w:r w:rsidRPr="00BF7131">
        <w:rPr>
          <w:rStyle w:val="Funotenzeichen"/>
          <w:lang w:val="fr-FR"/>
        </w:rPr>
        <w:footnoteRef/>
      </w:r>
      <w:r w:rsidRPr="00BF7131">
        <w:rPr>
          <w:rStyle w:val="Funotenzeichen"/>
          <w:lang w:val="fr-FR"/>
        </w:rPr>
        <w:t xml:space="preserve"> </w:t>
      </w:r>
      <w:r w:rsidRPr="00CC7BE5">
        <w:rPr>
          <w:lang w:val="fr-CH"/>
        </w:rPr>
        <w:t>Voir aussi le document </w:t>
      </w:r>
      <w:r w:rsidRPr="00CC7BE5">
        <w:rPr>
          <w:i/>
          <w:lang w:val="fr-CH"/>
        </w:rPr>
        <w:t xml:space="preserve">Mesures visant à prévenir les infections transmises par voie sanguine </w:t>
      </w:r>
      <w:r w:rsidRPr="00CC7BE5">
        <w:rPr>
          <w:lang w:val="fr-CH"/>
        </w:rPr>
        <w:t xml:space="preserve">ainsi que la publication de la SUVA </w:t>
      </w:r>
      <w:r w:rsidRPr="00CC7BE5">
        <w:rPr>
          <w:i/>
          <w:lang w:val="fr-CH"/>
        </w:rPr>
        <w:t>« </w:t>
      </w:r>
      <w:r w:rsidRPr="00CC7BE5">
        <w:rPr>
          <w:bCs/>
          <w:i/>
          <w:lang w:val="fr-CH"/>
        </w:rPr>
        <w:t>Prévention des maladies</w:t>
      </w:r>
      <w:r w:rsidRPr="001320A9">
        <w:rPr>
          <w:bCs/>
          <w:i/>
          <w:lang w:val="fr-CH"/>
        </w:rPr>
        <w:t xml:space="preserve"> </w:t>
      </w:r>
      <w:r w:rsidRPr="00CC7BE5">
        <w:rPr>
          <w:bCs/>
          <w:i/>
          <w:lang w:val="fr-CH"/>
        </w:rPr>
        <w:t>professionnelles dans les laboratoires de microbiologie diagnostique » / numéro de commande</w:t>
      </w:r>
      <w:r w:rsidRPr="00CC7BE5">
        <w:rPr>
          <w:lang w:val="fr-CH"/>
        </w:rPr>
        <w:t> : 2869/27f</w:t>
      </w:r>
      <w:r w:rsidRPr="00CC7BE5">
        <w:rPr>
          <w:lang w:val="fr-CH"/>
        </w:rPr>
        <w:br/>
      </w:r>
      <w:r w:rsidRPr="00CC7BE5">
        <w:rPr>
          <w:lang w:val="fr-CH"/>
        </w:rPr>
        <w:t>Commande :</w:t>
      </w:r>
      <w:r w:rsidRPr="00CC7BE5">
        <w:rPr>
          <w:i/>
          <w:smallCaps/>
          <w:color w:val="008080"/>
          <w:lang w:val="fr-CH"/>
        </w:rPr>
        <w:t xml:space="preserve"> </w:t>
      </w:r>
      <w:r w:rsidRPr="0037620E">
        <w:rPr>
          <w:rStyle w:val="Hyperlink"/>
          <w:i w:val="0"/>
          <w:lang w:val="fr-FR"/>
        </w:rPr>
        <w:t>https://www.suva.ch/fr-CH/materiel/documentation/prevention-des-maladies-professionnelles-dans-les-laboratoires-de-microbiologie-diagnostique</w:t>
      </w:r>
    </w:p>
  </w:footnote>
  <w:footnote w:id="4">
    <w:p w:rsidR="001320A9" w:rsidRPr="00E0579F" w:rsidRDefault="001320A9" w:rsidP="00255044">
      <w:pPr>
        <w:pStyle w:val="05BAFUFussnote"/>
      </w:pPr>
      <w:r w:rsidRPr="00BF7131">
        <w:rPr>
          <w:rStyle w:val="Funotenzeichen"/>
          <w:lang w:val="fr-FR"/>
        </w:rPr>
        <w:footnoteRef/>
      </w:r>
      <w:r w:rsidR="00CA5226" w:rsidRPr="00164010">
        <w:rPr>
          <w:lang w:val="fr-CH"/>
        </w:rPr>
        <w:t xml:space="preserve"> </w:t>
      </w:r>
      <w:r w:rsidRPr="00164010">
        <w:rPr>
          <w:lang w:val="fr-CH"/>
        </w:rPr>
        <w:t>Les directives de la Commission fédérale de coordination pour la sécurité au travail (CFST) doivent être respectées :</w:t>
      </w:r>
      <w:r w:rsidRPr="00164010">
        <w:rPr>
          <w:lang w:val="fr-CH"/>
        </w:rPr>
        <w:br/>
        <w:t xml:space="preserve">– Laboratoires chimiques (Directive CFST n° 1871) </w:t>
      </w:r>
      <w:r w:rsidRPr="00164010">
        <w:rPr>
          <w:lang w:val="fr-CH"/>
        </w:rPr>
        <w:br/>
      </w:r>
      <w:r w:rsidRPr="00255044">
        <w:t xml:space="preserve">– Liquides inflammables – </w:t>
      </w:r>
      <w:proofErr w:type="spellStart"/>
      <w:r w:rsidRPr="00255044">
        <w:t>Entreposage</w:t>
      </w:r>
      <w:proofErr w:type="spellEnd"/>
      <w:r w:rsidRPr="00255044">
        <w:t xml:space="preserve"> et </w:t>
      </w:r>
      <w:proofErr w:type="spellStart"/>
      <w:r w:rsidRPr="00255044">
        <w:t>manipulation</w:t>
      </w:r>
      <w:proofErr w:type="spellEnd"/>
      <w:r w:rsidRPr="00255044">
        <w:t xml:space="preserve"> (</w:t>
      </w:r>
      <w:proofErr w:type="spellStart"/>
      <w:r w:rsidRPr="00255044">
        <w:t>Directive</w:t>
      </w:r>
      <w:proofErr w:type="spellEnd"/>
      <w:r w:rsidRPr="00255044">
        <w:t xml:space="preserve"> CFST n° 1825) </w:t>
      </w:r>
      <w:r w:rsidRPr="00255044">
        <w:br/>
        <w:t xml:space="preserve">– </w:t>
      </w:r>
      <w:proofErr w:type="spellStart"/>
      <w:r w:rsidRPr="00255044">
        <w:t>Acides</w:t>
      </w:r>
      <w:proofErr w:type="spellEnd"/>
      <w:r w:rsidRPr="00255044">
        <w:t xml:space="preserve"> et </w:t>
      </w:r>
      <w:proofErr w:type="spellStart"/>
      <w:r w:rsidRPr="00255044">
        <w:t>bases</w:t>
      </w:r>
      <w:proofErr w:type="spellEnd"/>
      <w:r w:rsidRPr="00255044">
        <w:t xml:space="preserve"> (</w:t>
      </w:r>
      <w:proofErr w:type="spellStart"/>
      <w:r w:rsidRPr="00255044">
        <w:t>Directive</w:t>
      </w:r>
      <w:proofErr w:type="spellEnd"/>
      <w:r w:rsidRPr="00255044">
        <w:t xml:space="preserve"> CFST n° 6501)</w:t>
      </w:r>
      <w:r w:rsidRPr="00255044">
        <w:br/>
      </w:r>
      <w:proofErr w:type="spellStart"/>
      <w:r w:rsidRPr="00255044">
        <w:t>Commande</w:t>
      </w:r>
      <w:proofErr w:type="spellEnd"/>
      <w:r w:rsidRPr="00255044">
        <w:t xml:space="preserve"> : </w:t>
      </w:r>
      <w:hyperlink r:id="rId1" w:history="1">
        <w:r w:rsidRPr="00255044">
          <w:rPr>
            <w:rStyle w:val="Hyperlink"/>
            <w:i w:val="0"/>
          </w:rPr>
          <w:t>www.ekas.admin.ch/</w:t>
        </w:r>
      </w:hyperlink>
      <w:r w:rsidRPr="00255044">
        <w:t xml:space="preserve"> » </w:t>
      </w:r>
      <w:proofErr w:type="spellStart"/>
      <w:r w:rsidRPr="00255044">
        <w:t>Documentation</w:t>
      </w:r>
      <w:proofErr w:type="spellEnd"/>
      <w:r w:rsidRPr="00255044">
        <w:t xml:space="preserve"> » </w:t>
      </w:r>
      <w:proofErr w:type="spellStart"/>
      <w:r w:rsidRPr="00255044">
        <w:t>Directives</w:t>
      </w:r>
      <w:proofErr w:type="spellEnd"/>
      <w:r w:rsidRPr="00255044">
        <w:t xml:space="preserve"> » </w:t>
      </w:r>
      <w:proofErr w:type="spellStart"/>
      <w:r w:rsidRPr="00255044">
        <w:t>Directives</w:t>
      </w:r>
      <w:proofErr w:type="spellEnd"/>
      <w:r w:rsidRPr="00255044">
        <w:t xml:space="preserve"> CFST </w:t>
      </w:r>
      <w:proofErr w:type="spellStart"/>
      <w:r w:rsidRPr="00255044">
        <w:t>actuellement</w:t>
      </w:r>
      <w:proofErr w:type="spellEnd"/>
      <w:r w:rsidRPr="00255044">
        <w:t xml:space="preserve"> en </w:t>
      </w:r>
      <w:proofErr w:type="spellStart"/>
      <w:r w:rsidRPr="00255044">
        <w:t>vigueur</w:t>
      </w:r>
      <w:proofErr w:type="spellEnd"/>
      <w:r w:rsidRPr="00255044">
        <w:t xml:space="preserve"> </w:t>
      </w:r>
      <w:proofErr w:type="spellStart"/>
      <w:r w:rsidRPr="00255044">
        <w:t>ou</w:t>
      </w:r>
      <w:proofErr w:type="spellEnd"/>
      <w:r w:rsidRPr="00255044">
        <w:t xml:space="preserve"> </w:t>
      </w:r>
      <w:proofErr w:type="spellStart"/>
      <w:r w:rsidRPr="00255044">
        <w:t>directement</w:t>
      </w:r>
      <w:proofErr w:type="spellEnd"/>
      <w:r w:rsidRPr="00255044">
        <w:t xml:space="preserve"> </w:t>
      </w:r>
      <w:hyperlink r:id="rId2" w:history="1">
        <w:r w:rsidRPr="00E0579F">
          <w:rPr>
            <w:rStyle w:val="Hyperlink"/>
          </w:rPr>
          <w:t>https://www.ekas.admin.ch/index-fr.php?frameset=208&amp;page=1268</w:t>
        </w:r>
      </w:hyperlink>
      <w:r w:rsidRPr="00E0579F">
        <w:t>.</w:t>
      </w:r>
    </w:p>
  </w:footnote>
  <w:footnote w:id="5">
    <w:p w:rsidR="001320A9" w:rsidRPr="006D1973" w:rsidRDefault="001320A9" w:rsidP="00255044">
      <w:pPr>
        <w:pStyle w:val="05BAFUFussnote"/>
        <w:rPr>
          <w:lang w:val="fr-CH"/>
        </w:rPr>
      </w:pPr>
      <w:r w:rsidRPr="00255044">
        <w:rPr>
          <w:rStyle w:val="Funotenzeichen"/>
          <w:vertAlign w:val="baseline"/>
        </w:rPr>
        <w:footnoteRef/>
      </w:r>
      <w:r w:rsidR="006D1973" w:rsidRPr="006D1973">
        <w:rPr>
          <w:lang w:val="fr-CH"/>
        </w:rPr>
        <w:t xml:space="preserve"> </w:t>
      </w:r>
      <w:r w:rsidRPr="006D1973">
        <w:rPr>
          <w:lang w:val="fr-CH"/>
        </w:rPr>
        <w:t>Avant de commencer l’activité, il y a lieu de lire les directives générales internes à l’entreprise, les directives s’appliquant aux laboratoires, ainsi que des directives (internes à l’entreprise) s’appliquant spécifiquement aux substances, aux organismes et aux activités, et de les mettre en œuvre.</w:t>
      </w:r>
    </w:p>
  </w:footnote>
  <w:footnote w:id="6">
    <w:p w:rsidR="001320A9" w:rsidRPr="006D1973" w:rsidRDefault="001320A9" w:rsidP="00255044">
      <w:pPr>
        <w:pStyle w:val="05BAFUFussnote"/>
        <w:rPr>
          <w:lang w:val="fr-CH"/>
        </w:rPr>
      </w:pPr>
      <w:r w:rsidRPr="00255044">
        <w:rPr>
          <w:rStyle w:val="Funotenzeichen"/>
          <w:vertAlign w:val="baseline"/>
        </w:rPr>
        <w:footnoteRef/>
      </w:r>
      <w:r w:rsidRPr="006D1973">
        <w:rPr>
          <w:lang w:val="fr-CH"/>
        </w:rPr>
        <w:t xml:space="preserve"> Voir à ce sujet le document Plan d’urgence : procédure en cas d’incidents au laboratoire et le formulaire de déclaration des incidents de laboratoire.</w:t>
      </w:r>
    </w:p>
  </w:footnote>
  <w:footnote w:id="7">
    <w:p w:rsidR="001320A9" w:rsidRPr="006D1973" w:rsidRDefault="001320A9" w:rsidP="00255044">
      <w:pPr>
        <w:pStyle w:val="05BAFUFussnote"/>
        <w:rPr>
          <w:lang w:val="fr-CH"/>
        </w:rPr>
      </w:pPr>
      <w:r w:rsidRPr="00255044">
        <w:rPr>
          <w:rStyle w:val="Funotenzeichen"/>
          <w:vertAlign w:val="baseline"/>
        </w:rPr>
        <w:footnoteRef/>
      </w:r>
      <w:r w:rsidRPr="006D1973">
        <w:rPr>
          <w:lang w:val="fr-CH"/>
        </w:rPr>
        <w:t xml:space="preserve"> Voir la note de bas de page </w:t>
      </w:r>
      <w:r w:rsidRPr="00255044">
        <w:fldChar w:fldCharType="begin"/>
      </w:r>
      <w:r w:rsidRPr="006D1973">
        <w:rPr>
          <w:lang w:val="fr-CH"/>
        </w:rPr>
        <w:instrText xml:space="preserve"> NOTEREF _Ref493652830 </w:instrText>
      </w:r>
      <w:r w:rsidR="00CA5226" w:rsidRPr="006D1973">
        <w:rPr>
          <w:lang w:val="fr-CH"/>
        </w:rPr>
        <w:instrText xml:space="preserve"> \* MERGEFORMAT </w:instrText>
      </w:r>
      <w:r w:rsidRPr="00255044">
        <w:fldChar w:fldCharType="separate"/>
      </w:r>
      <w:r w:rsidRPr="006D1973">
        <w:rPr>
          <w:lang w:val="fr-CH"/>
        </w:rPr>
        <w:t>6</w:t>
      </w:r>
      <w:r w:rsidRPr="00255044">
        <w:fldChar w:fldCharType="end"/>
      </w:r>
      <w:r w:rsidRPr="006D1973">
        <w:rPr>
          <w:lang w:val="fr-CH"/>
        </w:rPr>
        <w:t>.</w:t>
      </w:r>
    </w:p>
  </w:footnote>
  <w:footnote w:id="8">
    <w:p w:rsidR="001320A9" w:rsidRPr="00D951D1" w:rsidRDefault="001320A9" w:rsidP="00255044">
      <w:pPr>
        <w:pStyle w:val="05BAFUFussnote"/>
        <w:rPr>
          <w:color w:val="008080"/>
        </w:rPr>
      </w:pPr>
      <w:r w:rsidRPr="00255044">
        <w:rPr>
          <w:rStyle w:val="Funotenzeichen"/>
          <w:vertAlign w:val="baseline"/>
        </w:rPr>
        <w:footnoteRef/>
      </w:r>
      <w:r w:rsidRPr="00E118C9">
        <w:rPr>
          <w:lang w:val="fr-CH"/>
        </w:rPr>
        <w:t xml:space="preserve"> Des exceptions sont possibles, lorsqu’un médecin du travail examine la situation et constate que l’activité ne présente pas de risque supplémentaire. </w:t>
      </w:r>
      <w:proofErr w:type="spellStart"/>
      <w:r w:rsidRPr="00255044">
        <w:t>Contexte</w:t>
      </w:r>
      <w:proofErr w:type="spellEnd"/>
      <w:r w:rsidRPr="00255044">
        <w:t xml:space="preserve"> </w:t>
      </w:r>
      <w:proofErr w:type="spellStart"/>
      <w:r w:rsidRPr="00255044">
        <w:t>juridique</w:t>
      </w:r>
      <w:proofErr w:type="spellEnd"/>
      <w:r w:rsidRPr="00255044">
        <w:t xml:space="preserve"> : art. 62 de </w:t>
      </w:r>
      <w:proofErr w:type="spellStart"/>
      <w:r w:rsidRPr="00255044">
        <w:t>l’ordonnance</w:t>
      </w:r>
      <w:proofErr w:type="spellEnd"/>
      <w:r w:rsidRPr="00255044">
        <w:t xml:space="preserve"> 1du 10 </w:t>
      </w:r>
      <w:proofErr w:type="spellStart"/>
      <w:r w:rsidRPr="00255044">
        <w:t>mai</w:t>
      </w:r>
      <w:proofErr w:type="spellEnd"/>
      <w:r w:rsidRPr="00255044">
        <w:t xml:space="preserve"> 2000 relative à la </w:t>
      </w:r>
      <w:proofErr w:type="spellStart"/>
      <w:r w:rsidRPr="00255044">
        <w:t>loi</w:t>
      </w:r>
      <w:proofErr w:type="spellEnd"/>
      <w:r w:rsidRPr="00255044">
        <w:t xml:space="preserve"> </w:t>
      </w:r>
      <w:proofErr w:type="spellStart"/>
      <w:r w:rsidRPr="00255044">
        <w:t>sur</w:t>
      </w:r>
      <w:proofErr w:type="spellEnd"/>
      <w:r w:rsidRPr="00255044">
        <w:t xml:space="preserve"> le </w:t>
      </w:r>
      <w:proofErr w:type="spellStart"/>
      <w:r w:rsidRPr="00255044">
        <w:t>travail</w:t>
      </w:r>
      <w:proofErr w:type="spellEnd"/>
      <w:r w:rsidRPr="00255044">
        <w:t xml:space="preserve"> (OLT1 </w:t>
      </w:r>
      <w:r w:rsidRPr="00E0579F">
        <w:t xml:space="preserve">; </w:t>
      </w:r>
      <w:r w:rsidRPr="00E0579F">
        <w:fldChar w:fldCharType="begin"/>
      </w:r>
      <w:r w:rsidRPr="00E0579F">
        <w:instrText xml:space="preserve"> HYPERLINK "http://www.admin.ch/ch/f/rs/c822_111.html" </w:instrText>
      </w:r>
      <w:r w:rsidRPr="00E0579F">
        <w:fldChar w:fldCharType="separate"/>
      </w:r>
      <w:r w:rsidRPr="00E0579F">
        <w:rPr>
          <w:rStyle w:val="Hyperlink"/>
        </w:rPr>
        <w:t>R</w:t>
      </w:r>
      <w:r w:rsidRPr="00E0579F">
        <w:rPr>
          <w:rStyle w:val="Hyperlink"/>
        </w:rPr>
        <w:t>S 8</w:t>
      </w:r>
      <w:r w:rsidRPr="00E0579F">
        <w:rPr>
          <w:rStyle w:val="Hyperlink"/>
        </w:rPr>
        <w:t>2</w:t>
      </w:r>
      <w:r w:rsidRPr="00E0579F">
        <w:rPr>
          <w:rStyle w:val="Hyperlink"/>
        </w:rPr>
        <w:t>2.111</w:t>
      </w:r>
      <w:r w:rsidRPr="00E0579F">
        <w:fldChar w:fldCharType="end"/>
      </w:r>
      <w:r w:rsidRPr="00255044">
        <w:t xml:space="preserve">) </w:t>
      </w:r>
      <w:proofErr w:type="spellStart"/>
      <w:r w:rsidRPr="00255044">
        <w:t>ainsi</w:t>
      </w:r>
      <w:proofErr w:type="spellEnd"/>
      <w:r w:rsidRPr="00255044">
        <w:t xml:space="preserve"> </w:t>
      </w:r>
      <w:proofErr w:type="spellStart"/>
      <w:r w:rsidRPr="00255044">
        <w:t>que</w:t>
      </w:r>
      <w:proofErr w:type="spellEnd"/>
      <w:r w:rsidRPr="00255044">
        <w:t xml:space="preserve"> les art. 10 et 17 de </w:t>
      </w:r>
      <w:proofErr w:type="spellStart"/>
      <w:r w:rsidRPr="00255044">
        <w:t>l’ordonnance</w:t>
      </w:r>
      <w:proofErr w:type="spellEnd"/>
      <w:r w:rsidRPr="00255044">
        <w:t xml:space="preserve"> du DFE du 20 </w:t>
      </w:r>
      <w:proofErr w:type="spellStart"/>
      <w:r w:rsidRPr="00255044">
        <w:t>mars</w:t>
      </w:r>
      <w:proofErr w:type="spellEnd"/>
      <w:r w:rsidRPr="00255044">
        <w:t xml:space="preserve"> 2001 </w:t>
      </w:r>
      <w:proofErr w:type="spellStart"/>
      <w:r w:rsidRPr="00255044">
        <w:t>sur</w:t>
      </w:r>
      <w:proofErr w:type="spellEnd"/>
      <w:r w:rsidRPr="00255044">
        <w:t xml:space="preserve"> les </w:t>
      </w:r>
      <w:proofErr w:type="spellStart"/>
      <w:r w:rsidRPr="00255044">
        <w:t>activités</w:t>
      </w:r>
      <w:proofErr w:type="spellEnd"/>
      <w:r w:rsidRPr="00255044">
        <w:t xml:space="preserve"> </w:t>
      </w:r>
      <w:proofErr w:type="spellStart"/>
      <w:r w:rsidRPr="00255044">
        <w:t>dangereuses</w:t>
      </w:r>
      <w:proofErr w:type="spellEnd"/>
      <w:r w:rsidRPr="00255044">
        <w:t xml:space="preserve"> </w:t>
      </w:r>
      <w:proofErr w:type="spellStart"/>
      <w:r w:rsidRPr="00255044">
        <w:t>ou</w:t>
      </w:r>
      <w:proofErr w:type="spellEnd"/>
      <w:r w:rsidRPr="00255044">
        <w:t xml:space="preserve"> </w:t>
      </w:r>
      <w:proofErr w:type="spellStart"/>
      <w:r w:rsidRPr="00255044">
        <w:t>pénibles</w:t>
      </w:r>
      <w:proofErr w:type="spellEnd"/>
      <w:r w:rsidRPr="00255044">
        <w:t xml:space="preserve"> en </w:t>
      </w:r>
      <w:proofErr w:type="spellStart"/>
      <w:r w:rsidRPr="00255044">
        <w:t>cas</w:t>
      </w:r>
      <w:proofErr w:type="spellEnd"/>
      <w:r w:rsidRPr="00255044">
        <w:t xml:space="preserve"> de </w:t>
      </w:r>
      <w:proofErr w:type="spellStart"/>
      <w:r w:rsidRPr="00255044">
        <w:t>grossesse</w:t>
      </w:r>
      <w:proofErr w:type="spellEnd"/>
      <w:r w:rsidRPr="00255044">
        <w:t xml:space="preserve"> et de </w:t>
      </w:r>
      <w:proofErr w:type="spellStart"/>
      <w:r w:rsidRPr="00255044">
        <w:t>maternité</w:t>
      </w:r>
      <w:proofErr w:type="spellEnd"/>
      <w:r w:rsidRPr="00255044">
        <w:t xml:space="preserve"> (</w:t>
      </w:r>
      <w:proofErr w:type="spellStart"/>
      <w:r w:rsidRPr="00255044">
        <w:t>Ordonnance</w:t>
      </w:r>
      <w:proofErr w:type="spellEnd"/>
      <w:r w:rsidRPr="00255044">
        <w:t xml:space="preserve"> </w:t>
      </w:r>
      <w:proofErr w:type="spellStart"/>
      <w:r w:rsidRPr="00255044">
        <w:t>sur</w:t>
      </w:r>
      <w:proofErr w:type="spellEnd"/>
      <w:r w:rsidRPr="00255044">
        <w:t xml:space="preserve"> la </w:t>
      </w:r>
      <w:proofErr w:type="spellStart"/>
      <w:r w:rsidRPr="00255044">
        <w:t>protection</w:t>
      </w:r>
      <w:proofErr w:type="spellEnd"/>
      <w:r w:rsidRPr="00255044">
        <w:t xml:space="preserve"> de la </w:t>
      </w:r>
      <w:proofErr w:type="spellStart"/>
      <w:r w:rsidRPr="00255044">
        <w:t>maternité</w:t>
      </w:r>
      <w:proofErr w:type="spellEnd"/>
      <w:r w:rsidRPr="00255044">
        <w:t> </w:t>
      </w:r>
      <w:r w:rsidRPr="00E0579F">
        <w:t xml:space="preserve">; </w:t>
      </w:r>
      <w:hyperlink r:id="rId3" w:history="1">
        <w:r w:rsidRPr="00E0579F">
          <w:rPr>
            <w:rStyle w:val="Hyperlink"/>
          </w:rPr>
          <w:t>RS 822.</w:t>
        </w:r>
        <w:r w:rsidRPr="00E0579F">
          <w:rPr>
            <w:rStyle w:val="Hyperlink"/>
          </w:rPr>
          <w:t>1</w:t>
        </w:r>
        <w:r w:rsidRPr="00E0579F">
          <w:rPr>
            <w:rStyle w:val="Hyperlink"/>
          </w:rPr>
          <w:t>11.52</w:t>
        </w:r>
      </w:hyperlink>
      <w:r w:rsidRPr="00E0579F">
        <w:rPr>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1320A9" w:rsidRDefault="008263A1" w:rsidP="001320A9">
    <w:pPr>
      <w:pStyle w:val="99BAFUKopfzeileGrau"/>
      <w:rPr>
        <w:lang w:val="fr-CH"/>
      </w:rPr>
    </w:pPr>
    <w:r w:rsidRPr="001320A9">
      <w:rPr>
        <w:lang w:val="fr-CH"/>
      </w:rPr>
      <w:t>An</w:t>
    </w:r>
    <w:r w:rsidR="001320A9">
      <w:rPr>
        <w:lang w:val="fr-CH"/>
      </w:rPr>
      <w:t>nexe</w:t>
    </w:r>
    <w:r w:rsidRPr="001320A9">
      <w:rPr>
        <w:lang w:val="fr-CH"/>
      </w:rPr>
      <w:t xml:space="preserve"> </w:t>
    </w:r>
    <w:r w:rsidR="00AE2978" w:rsidRPr="001320A9">
      <w:rPr>
        <w:lang w:val="fr-CH"/>
      </w:rPr>
      <w:t>9</w:t>
    </w:r>
    <w:r w:rsidRPr="001320A9">
      <w:rPr>
        <w:lang w:val="fr-CH"/>
      </w:rPr>
      <w:t xml:space="preserve">. </w:t>
    </w:r>
    <w:r w:rsidR="001320A9" w:rsidRPr="001320A9">
      <w:rPr>
        <w:lang w:val="fr-FR"/>
      </w:rPr>
      <w:t>Concept de sécurité au sens de l’OUC et de l’OPTM pour les laboratoires de niveau </w:t>
    </w:r>
    <w:proofErr w:type="gramStart"/>
    <w:r w:rsidR="001320A9">
      <w:rPr>
        <w:lang w:val="fr-FR"/>
      </w:rPr>
      <w:t xml:space="preserve">2 </w:t>
    </w:r>
    <w:r w:rsidRPr="001320A9">
      <w:rPr>
        <w:rStyle w:val="99Kopfzeilegrau"/>
        <w:color w:val="auto"/>
        <w:lang w:val="fr-CH"/>
      </w:rPr>
      <w:t xml:space="preserve"> </w:t>
    </w:r>
    <w:r w:rsidRPr="001320A9">
      <w:rPr>
        <w:rStyle w:val="99Kopfzeilegrau"/>
        <w:lang w:val="fr-CH"/>
      </w:rPr>
      <w:t>©</w:t>
    </w:r>
    <w:proofErr w:type="gramEnd"/>
    <w:r w:rsidRPr="001320A9">
      <w:rPr>
        <w:rStyle w:val="99Kopfzeilegrau"/>
        <w:lang w:val="fr-CH"/>
      </w:rPr>
      <w:t xml:space="preserve"> </w:t>
    </w:r>
    <w:r w:rsidR="001320A9">
      <w:rPr>
        <w:rStyle w:val="99Kopfzeilegrau"/>
        <w:lang w:val="fr-CH"/>
      </w:rPr>
      <w:t>OFEV</w:t>
    </w:r>
    <w:r w:rsidRPr="001320A9">
      <w:rPr>
        <w:rStyle w:val="99Kopfzeilegrau"/>
        <w:lang w:val="fr-CH"/>
      </w:rPr>
      <w:t xml:space="preserve"> 2019</w:t>
    </w:r>
    <w:r w:rsidRPr="001320A9">
      <w:rPr>
        <w:lang w:val="fr-CH"/>
      </w:rPr>
      <w:tab/>
    </w:r>
    <w:r w:rsidRPr="00077368">
      <w:fldChar w:fldCharType="begin"/>
    </w:r>
    <w:r w:rsidRPr="001320A9">
      <w:rPr>
        <w:lang w:val="fr-CH"/>
      </w:rPr>
      <w:instrText>PAGE   \* MERGEFORMAT</w:instrText>
    </w:r>
    <w:r w:rsidRPr="00077368">
      <w:fldChar w:fldCharType="separate"/>
    </w:r>
    <w:r w:rsidR="00E0579F">
      <w:rPr>
        <w:noProof/>
        <w:lang w:val="fr-CH"/>
      </w:rPr>
      <w:t>3</w:t>
    </w:r>
    <w:r w:rsidRPr="00077368">
      <w:fldChar w:fldCharType="end"/>
    </w:r>
  </w:p>
  <w:p w:rsidR="008263A1" w:rsidRPr="001320A9" w:rsidRDefault="008263A1" w:rsidP="008263A1">
    <w:pPr>
      <w:pStyle w:val="99BAFUSatzspiegellinie"/>
      <w:tabs>
        <w:tab w:val="clear" w:pos="9072"/>
        <w:tab w:val="left" w:pos="1038"/>
      </w:tabs>
      <w:rPr>
        <w:lang w:val="fr-CH"/>
      </w:rPr>
    </w:pPr>
  </w:p>
  <w:p w:rsidR="008263A1" w:rsidRPr="001320A9" w:rsidRDefault="008263A1">
    <w:pPr>
      <w:pStyle w:val="Kopfzeile"/>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8"/>
    <w:multiLevelType w:val="singleLevel"/>
    <w:tmpl w:val="000F0407"/>
    <w:lvl w:ilvl="0">
      <w:start w:val="1"/>
      <w:numFmt w:val="decimal"/>
      <w:lvlText w:val="%1."/>
      <w:lvlJc w:val="left"/>
      <w:pPr>
        <w:tabs>
          <w:tab w:val="num" w:pos="720"/>
        </w:tabs>
        <w:ind w:left="720" w:hanging="360"/>
      </w:pPr>
    </w:lvl>
  </w:abstractNum>
  <w:abstractNum w:abstractNumId="12"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08D504AD"/>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0FBB3221"/>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22E56732"/>
    <w:multiLevelType w:val="hybridMultilevel"/>
    <w:tmpl w:val="8A961A96"/>
    <w:lvl w:ilvl="0" w:tplc="F8BCD6C2">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4120E816">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23216D37"/>
    <w:multiLevelType w:val="hybridMultilevel"/>
    <w:tmpl w:val="832CB5C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24382D46"/>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3"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36162B4F"/>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63014C1"/>
    <w:multiLevelType w:val="hybridMultilevel"/>
    <w:tmpl w:val="DCA0A36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9"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4E7E73B5"/>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8613972"/>
    <w:multiLevelType w:val="hybridMultilevel"/>
    <w:tmpl w:val="5848197E"/>
    <w:lvl w:ilvl="0" w:tplc="F8BCD6C2">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35"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8" w15:restartNumberingAfterBreak="0">
    <w:nsid w:val="7FBF0E83"/>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3"/>
  </w:num>
  <w:num w:numId="2">
    <w:abstractNumId w:val="17"/>
  </w:num>
  <w:num w:numId="3">
    <w:abstractNumId w:val="14"/>
  </w:num>
  <w:num w:numId="4">
    <w:abstractNumId w:val="22"/>
  </w:num>
  <w:num w:numId="5">
    <w:abstractNumId w:val="35"/>
  </w:num>
  <w:num w:numId="6">
    <w:abstractNumId w:val="28"/>
  </w:num>
  <w:num w:numId="7">
    <w:abstractNumId w:val="28"/>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34"/>
  </w:num>
  <w:num w:numId="9">
    <w:abstractNumId w:val="9"/>
  </w:num>
  <w:num w:numId="10">
    <w:abstractNumId w:val="7"/>
  </w:num>
  <w:num w:numId="11">
    <w:abstractNumId w:val="6"/>
  </w:num>
  <w:num w:numId="12">
    <w:abstractNumId w:val="5"/>
  </w:num>
  <w:num w:numId="13">
    <w:abstractNumId w:val="4"/>
  </w:num>
  <w:num w:numId="14">
    <w:abstractNumId w:val="12"/>
  </w:num>
  <w:num w:numId="15">
    <w:abstractNumId w:val="23"/>
  </w:num>
  <w:num w:numId="16">
    <w:abstractNumId w:val="32"/>
  </w:num>
  <w:num w:numId="17">
    <w:abstractNumId w:val="16"/>
  </w:num>
  <w:num w:numId="18">
    <w:abstractNumId w:val="34"/>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25"/>
  </w:num>
  <w:num w:numId="25">
    <w:abstractNumId w:val="18"/>
  </w:num>
  <w:num w:numId="26">
    <w:abstractNumId w:val="37"/>
  </w:num>
  <w:num w:numId="27">
    <w:abstractNumId w:val="29"/>
  </w:num>
  <w:num w:numId="28">
    <w:abstractNumId w:val="36"/>
  </w:num>
  <w:num w:numId="29">
    <w:abstractNumId w:val="25"/>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abstractNumId w:val="15"/>
  </w:num>
  <w:num w:numId="32">
    <w:abstractNumId w:val="12"/>
  </w:num>
  <w:num w:numId="33">
    <w:abstractNumId w:val="21"/>
  </w:num>
  <w:num w:numId="34">
    <w:abstractNumId w:val="26"/>
  </w:num>
  <w:num w:numId="35">
    <w:abstractNumId w:val="13"/>
  </w:num>
  <w:num w:numId="36">
    <w:abstractNumId w:val="12"/>
  </w:num>
  <w:num w:numId="37">
    <w:abstractNumId w:val="38"/>
  </w:num>
  <w:num w:numId="38">
    <w:abstractNumId w:val="27"/>
  </w:num>
  <w:num w:numId="39">
    <w:abstractNumId w:val="12"/>
  </w:num>
  <w:num w:numId="40">
    <w:abstractNumId w:val="30"/>
  </w:num>
  <w:num w:numId="41">
    <w:abstractNumId w:val="16"/>
  </w:num>
  <w:num w:numId="42">
    <w:abstractNumId w:val="31"/>
  </w:num>
  <w:num w:numId="43">
    <w:abstractNumId w:val="19"/>
  </w:num>
  <w:num w:numId="44">
    <w:abstractNumId w:val="24"/>
  </w:num>
  <w:num w:numId="45">
    <w:abstractNumId w:val="11"/>
  </w:num>
  <w:num w:numId="46">
    <w:abstractNumId w:val="24"/>
  </w:num>
  <w:num w:numId="47">
    <w:abstractNumId w:val="24"/>
  </w:num>
  <w:num w:numId="48">
    <w:abstractNumId w:val="24"/>
  </w:num>
  <w:num w:numId="49">
    <w:abstractNumId w:val="24"/>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attachedTemplate r:id="rId1"/>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2B76"/>
    <w:rsid w:val="000159CF"/>
    <w:rsid w:val="0002726B"/>
    <w:rsid w:val="000508B2"/>
    <w:rsid w:val="000512CD"/>
    <w:rsid w:val="00054899"/>
    <w:rsid w:val="000568A8"/>
    <w:rsid w:val="000731DA"/>
    <w:rsid w:val="00077368"/>
    <w:rsid w:val="00077CC3"/>
    <w:rsid w:val="00084994"/>
    <w:rsid w:val="000904E5"/>
    <w:rsid w:val="000C7E51"/>
    <w:rsid w:val="000D6AEE"/>
    <w:rsid w:val="000E0AFD"/>
    <w:rsid w:val="000E452C"/>
    <w:rsid w:val="000E45B2"/>
    <w:rsid w:val="00114F0A"/>
    <w:rsid w:val="0011540C"/>
    <w:rsid w:val="001320A9"/>
    <w:rsid w:val="00137A4D"/>
    <w:rsid w:val="00141E0E"/>
    <w:rsid w:val="00151AA2"/>
    <w:rsid w:val="00153C5B"/>
    <w:rsid w:val="00153F00"/>
    <w:rsid w:val="00153F2E"/>
    <w:rsid w:val="001616BD"/>
    <w:rsid w:val="00164010"/>
    <w:rsid w:val="001651FF"/>
    <w:rsid w:val="001710A2"/>
    <w:rsid w:val="00171342"/>
    <w:rsid w:val="00174045"/>
    <w:rsid w:val="001773BB"/>
    <w:rsid w:val="00194DC9"/>
    <w:rsid w:val="001A44A2"/>
    <w:rsid w:val="001B43F2"/>
    <w:rsid w:val="001C1F8F"/>
    <w:rsid w:val="001C37D6"/>
    <w:rsid w:val="001C5CBC"/>
    <w:rsid w:val="001D5333"/>
    <w:rsid w:val="001D5784"/>
    <w:rsid w:val="001E08D4"/>
    <w:rsid w:val="001E0E8F"/>
    <w:rsid w:val="001E33A5"/>
    <w:rsid w:val="001F376D"/>
    <w:rsid w:val="001F3837"/>
    <w:rsid w:val="00203AE3"/>
    <w:rsid w:val="00206A92"/>
    <w:rsid w:val="0022112A"/>
    <w:rsid w:val="00252555"/>
    <w:rsid w:val="00255044"/>
    <w:rsid w:val="00256463"/>
    <w:rsid w:val="002654EF"/>
    <w:rsid w:val="002677B6"/>
    <w:rsid w:val="00267CF3"/>
    <w:rsid w:val="00276DDF"/>
    <w:rsid w:val="00284FE3"/>
    <w:rsid w:val="00286B19"/>
    <w:rsid w:val="002B0862"/>
    <w:rsid w:val="002C7AD1"/>
    <w:rsid w:val="002F1914"/>
    <w:rsid w:val="00303E74"/>
    <w:rsid w:val="0030499A"/>
    <w:rsid w:val="00312C36"/>
    <w:rsid w:val="003176A2"/>
    <w:rsid w:val="00340CA8"/>
    <w:rsid w:val="00342FD2"/>
    <w:rsid w:val="00345392"/>
    <w:rsid w:val="00350EB3"/>
    <w:rsid w:val="00355384"/>
    <w:rsid w:val="003565E8"/>
    <w:rsid w:val="003741F7"/>
    <w:rsid w:val="003746C6"/>
    <w:rsid w:val="003766B9"/>
    <w:rsid w:val="00392765"/>
    <w:rsid w:val="003A2FCE"/>
    <w:rsid w:val="003A597F"/>
    <w:rsid w:val="003B6705"/>
    <w:rsid w:val="003E0730"/>
    <w:rsid w:val="00423368"/>
    <w:rsid w:val="00456CCB"/>
    <w:rsid w:val="00463452"/>
    <w:rsid w:val="00465964"/>
    <w:rsid w:val="00490C6C"/>
    <w:rsid w:val="00493221"/>
    <w:rsid w:val="004B4476"/>
    <w:rsid w:val="004B7112"/>
    <w:rsid w:val="004C0384"/>
    <w:rsid w:val="004C4B1D"/>
    <w:rsid w:val="004E03D2"/>
    <w:rsid w:val="004E7EAC"/>
    <w:rsid w:val="004F374B"/>
    <w:rsid w:val="004F44ED"/>
    <w:rsid w:val="0051314B"/>
    <w:rsid w:val="00526A0C"/>
    <w:rsid w:val="005413E3"/>
    <w:rsid w:val="00546E75"/>
    <w:rsid w:val="00555CC1"/>
    <w:rsid w:val="00562FF4"/>
    <w:rsid w:val="00570D73"/>
    <w:rsid w:val="00573B63"/>
    <w:rsid w:val="00590EFB"/>
    <w:rsid w:val="00592236"/>
    <w:rsid w:val="005936E6"/>
    <w:rsid w:val="00597917"/>
    <w:rsid w:val="005A2AD0"/>
    <w:rsid w:val="005B2F37"/>
    <w:rsid w:val="005B4E5A"/>
    <w:rsid w:val="005C4B31"/>
    <w:rsid w:val="005D4790"/>
    <w:rsid w:val="005D54DA"/>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83C22"/>
    <w:rsid w:val="0068661A"/>
    <w:rsid w:val="006A2B0C"/>
    <w:rsid w:val="006B4642"/>
    <w:rsid w:val="006D1973"/>
    <w:rsid w:val="006E2BB4"/>
    <w:rsid w:val="006E2C99"/>
    <w:rsid w:val="006E453A"/>
    <w:rsid w:val="006E7C6F"/>
    <w:rsid w:val="006F27DB"/>
    <w:rsid w:val="007004B3"/>
    <w:rsid w:val="00702B4D"/>
    <w:rsid w:val="00704BD5"/>
    <w:rsid w:val="00705F68"/>
    <w:rsid w:val="00706C67"/>
    <w:rsid w:val="0071445F"/>
    <w:rsid w:val="0071576D"/>
    <w:rsid w:val="00727ECB"/>
    <w:rsid w:val="0073013E"/>
    <w:rsid w:val="0073126F"/>
    <w:rsid w:val="007313BE"/>
    <w:rsid w:val="007329FD"/>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D348C"/>
    <w:rsid w:val="007D51FC"/>
    <w:rsid w:val="007E7634"/>
    <w:rsid w:val="007F5163"/>
    <w:rsid w:val="0080534A"/>
    <w:rsid w:val="0082067C"/>
    <w:rsid w:val="00821FE4"/>
    <w:rsid w:val="008263A1"/>
    <w:rsid w:val="00830F17"/>
    <w:rsid w:val="00832A96"/>
    <w:rsid w:val="008342B2"/>
    <w:rsid w:val="008347FA"/>
    <w:rsid w:val="0083754E"/>
    <w:rsid w:val="00840AB7"/>
    <w:rsid w:val="0085003C"/>
    <w:rsid w:val="00855F6B"/>
    <w:rsid w:val="00883CDB"/>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72829"/>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49D8"/>
    <w:rsid w:val="00A14E83"/>
    <w:rsid w:val="00A23AAB"/>
    <w:rsid w:val="00A255F2"/>
    <w:rsid w:val="00A36765"/>
    <w:rsid w:val="00A51A24"/>
    <w:rsid w:val="00A60378"/>
    <w:rsid w:val="00A72158"/>
    <w:rsid w:val="00A82010"/>
    <w:rsid w:val="00A84F32"/>
    <w:rsid w:val="00A97A6B"/>
    <w:rsid w:val="00AB39EF"/>
    <w:rsid w:val="00AC2BB5"/>
    <w:rsid w:val="00AC4985"/>
    <w:rsid w:val="00AD2418"/>
    <w:rsid w:val="00AE0E53"/>
    <w:rsid w:val="00AE2978"/>
    <w:rsid w:val="00AE55DC"/>
    <w:rsid w:val="00AF3C5E"/>
    <w:rsid w:val="00B07CD8"/>
    <w:rsid w:val="00B17637"/>
    <w:rsid w:val="00B21758"/>
    <w:rsid w:val="00B319B1"/>
    <w:rsid w:val="00B325D1"/>
    <w:rsid w:val="00B40C53"/>
    <w:rsid w:val="00B63EAC"/>
    <w:rsid w:val="00B72F99"/>
    <w:rsid w:val="00B87B03"/>
    <w:rsid w:val="00B91E01"/>
    <w:rsid w:val="00B95429"/>
    <w:rsid w:val="00B95729"/>
    <w:rsid w:val="00BB0408"/>
    <w:rsid w:val="00BB2C13"/>
    <w:rsid w:val="00BC08C8"/>
    <w:rsid w:val="00BC1ED8"/>
    <w:rsid w:val="00BD5E73"/>
    <w:rsid w:val="00BD7ACA"/>
    <w:rsid w:val="00BE4C60"/>
    <w:rsid w:val="00BF0385"/>
    <w:rsid w:val="00BF185C"/>
    <w:rsid w:val="00BF5276"/>
    <w:rsid w:val="00C030CC"/>
    <w:rsid w:val="00C06D65"/>
    <w:rsid w:val="00C562AD"/>
    <w:rsid w:val="00C603A6"/>
    <w:rsid w:val="00C71A5D"/>
    <w:rsid w:val="00C732B1"/>
    <w:rsid w:val="00C73B33"/>
    <w:rsid w:val="00C81D31"/>
    <w:rsid w:val="00C86541"/>
    <w:rsid w:val="00CA5226"/>
    <w:rsid w:val="00CB5B6D"/>
    <w:rsid w:val="00CC0951"/>
    <w:rsid w:val="00CC1A82"/>
    <w:rsid w:val="00CC6A37"/>
    <w:rsid w:val="00CC7BE5"/>
    <w:rsid w:val="00CE6B13"/>
    <w:rsid w:val="00CF4C7D"/>
    <w:rsid w:val="00CF6289"/>
    <w:rsid w:val="00CF7E2C"/>
    <w:rsid w:val="00D02888"/>
    <w:rsid w:val="00D046D6"/>
    <w:rsid w:val="00D11BBC"/>
    <w:rsid w:val="00D12461"/>
    <w:rsid w:val="00D313E8"/>
    <w:rsid w:val="00D32634"/>
    <w:rsid w:val="00D3342E"/>
    <w:rsid w:val="00D3752A"/>
    <w:rsid w:val="00D45963"/>
    <w:rsid w:val="00D45CE1"/>
    <w:rsid w:val="00D53403"/>
    <w:rsid w:val="00D654D6"/>
    <w:rsid w:val="00D93ADD"/>
    <w:rsid w:val="00D9789D"/>
    <w:rsid w:val="00DA11C0"/>
    <w:rsid w:val="00DA351C"/>
    <w:rsid w:val="00DB118B"/>
    <w:rsid w:val="00DD5049"/>
    <w:rsid w:val="00DE38F1"/>
    <w:rsid w:val="00DE4CF2"/>
    <w:rsid w:val="00DF10B8"/>
    <w:rsid w:val="00E01811"/>
    <w:rsid w:val="00E03B46"/>
    <w:rsid w:val="00E0579F"/>
    <w:rsid w:val="00E118C9"/>
    <w:rsid w:val="00E17847"/>
    <w:rsid w:val="00E3414A"/>
    <w:rsid w:val="00E40A11"/>
    <w:rsid w:val="00E4541E"/>
    <w:rsid w:val="00E45DD9"/>
    <w:rsid w:val="00E4708D"/>
    <w:rsid w:val="00E47757"/>
    <w:rsid w:val="00E477CC"/>
    <w:rsid w:val="00E517EA"/>
    <w:rsid w:val="00E56938"/>
    <w:rsid w:val="00E57B38"/>
    <w:rsid w:val="00E7245F"/>
    <w:rsid w:val="00E76A19"/>
    <w:rsid w:val="00E81548"/>
    <w:rsid w:val="00E96286"/>
    <w:rsid w:val="00EA3E4B"/>
    <w:rsid w:val="00EA4E63"/>
    <w:rsid w:val="00EC03F3"/>
    <w:rsid w:val="00EC4066"/>
    <w:rsid w:val="00ED6F44"/>
    <w:rsid w:val="00ED789D"/>
    <w:rsid w:val="00EF3BDB"/>
    <w:rsid w:val="00F04BA4"/>
    <w:rsid w:val="00F05162"/>
    <w:rsid w:val="00F06554"/>
    <w:rsid w:val="00F10543"/>
    <w:rsid w:val="00F21441"/>
    <w:rsid w:val="00F325C1"/>
    <w:rsid w:val="00F336DA"/>
    <w:rsid w:val="00F3466A"/>
    <w:rsid w:val="00F57024"/>
    <w:rsid w:val="00F63A80"/>
    <w:rsid w:val="00F71844"/>
    <w:rsid w:val="00F832E0"/>
    <w:rsid w:val="00F9380F"/>
    <w:rsid w:val="00F96B94"/>
    <w:rsid w:val="00FA4C27"/>
    <w:rsid w:val="00FA5113"/>
    <w:rsid w:val="00FB0BA4"/>
    <w:rsid w:val="00FB0E30"/>
    <w:rsid w:val="00FC3FD5"/>
    <w:rsid w:val="00FC6C30"/>
    <w:rsid w:val="00FD024C"/>
    <w:rsid w:val="00FD2B6A"/>
    <w:rsid w:val="00FE0F73"/>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EC4066"/>
    <w:pPr>
      <w:numPr>
        <w:numId w:val="2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AE2978"/>
    <w:pPr>
      <w:numPr>
        <w:numId w:val="44"/>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17"/>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admin.ch/ch/f/rs/c822_111_52.html" TargetMode="External"/><Relationship Id="rId2" Type="http://schemas.openxmlformats.org/officeDocument/2006/relationships/hyperlink" Target="https://www.ekas.admin.ch/index-fr.php?frameset=208&amp;page=1268" TargetMode="External"/><Relationship Id="rId1" Type="http://schemas.openxmlformats.org/officeDocument/2006/relationships/hyperlink" Target="http://www.ekas.admin.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7F5FA-A690-47AB-9FA6-FF8AEF945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Template>
  <TotalTime>0</TotalTime>
  <Pages>3</Pages>
  <Words>863</Words>
  <Characters>5440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Administrator</cp:lastModifiedBy>
  <cp:revision>11</cp:revision>
  <cp:lastPrinted>2019-09-05T12:42:00Z</cp:lastPrinted>
  <dcterms:created xsi:type="dcterms:W3CDTF">2020-02-04T08:10:00Z</dcterms:created>
  <dcterms:modified xsi:type="dcterms:W3CDTF">2020-02-04T08:22:00Z</dcterms:modified>
</cp:coreProperties>
</file>