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790" w:rsidRPr="00D146C7" w:rsidRDefault="009E4C68" w:rsidP="009E4C68">
      <w:pPr>
        <w:pStyle w:val="01BAFUKapiteltitelnummeriert"/>
        <w:numPr>
          <w:ilvl w:val="0"/>
          <w:numId w:val="0"/>
        </w:numPr>
        <w:rPr>
          <w:lang w:val="fr-CH"/>
        </w:rPr>
      </w:pPr>
      <w:bookmarkStart w:id="0" w:name="_Toc12457507"/>
      <w:r w:rsidRPr="00D146C7">
        <w:rPr>
          <w:color w:val="B6BDBB"/>
          <w:lang w:val="fr-CH"/>
        </w:rPr>
        <w:t>An</w:t>
      </w:r>
      <w:r w:rsidR="00D146C7">
        <w:rPr>
          <w:color w:val="B6BDBB"/>
          <w:lang w:val="fr-CH"/>
        </w:rPr>
        <w:t>nexe</w:t>
      </w:r>
      <w:r w:rsidRPr="00D146C7">
        <w:rPr>
          <w:color w:val="B6BDBB"/>
          <w:lang w:val="fr-CH"/>
        </w:rPr>
        <w:t xml:space="preserve"> </w:t>
      </w:r>
      <w:r w:rsidR="00984E0B" w:rsidRPr="00D146C7">
        <w:rPr>
          <w:color w:val="B6BDBB"/>
          <w:lang w:val="fr-CH"/>
        </w:rPr>
        <w:t>1</w:t>
      </w:r>
      <w:r w:rsidR="00737F18" w:rsidRPr="00D146C7">
        <w:rPr>
          <w:color w:val="B6BDBB"/>
          <w:lang w:val="fr-CH"/>
        </w:rPr>
        <w:t>4</w:t>
      </w:r>
      <w:r w:rsidRPr="00D146C7">
        <w:rPr>
          <w:lang w:val="fr-CH"/>
        </w:rPr>
        <w:t xml:space="preserve"> </w:t>
      </w:r>
      <w:r w:rsidRPr="00D146C7">
        <w:rPr>
          <w:lang w:val="fr-CH"/>
        </w:rPr>
        <w:br/>
      </w:r>
      <w:bookmarkEnd w:id="0"/>
      <w:r w:rsidR="00D146C7" w:rsidRPr="00D146C7">
        <w:rPr>
          <w:lang w:val="fr-FR"/>
        </w:rPr>
        <w:t>Plan d’élimination des déchets contaminés par des produits biologiques</w:t>
      </w:r>
    </w:p>
    <w:p w:rsidR="00D146C7" w:rsidRPr="00D146C7" w:rsidRDefault="00D146C7" w:rsidP="00D146C7">
      <w:pPr>
        <w:pStyle w:val="05BAFUGrundschrift"/>
        <w:rPr>
          <w:b/>
          <w:color w:val="6C9051" w:themeColor="accent2" w:themeShade="BF"/>
          <w:lang w:val="fr-FR"/>
        </w:rPr>
      </w:pPr>
      <w:r w:rsidRPr="00D146C7">
        <w:rPr>
          <w:b/>
          <w:color w:val="6C9051" w:themeColor="accent2" w:themeShade="BF"/>
          <w:lang w:val="fr-FR"/>
        </w:rPr>
        <w:t>Ce document présente une situation concrète dans la pratique et doit être adapté aux spécificités de l’entreprise.</w:t>
      </w:r>
    </w:p>
    <w:p w:rsidR="00DD5049" w:rsidRDefault="00773A10" w:rsidP="00737F18">
      <w:pPr>
        <w:pStyle w:val="02BAFUTitelnummeriert"/>
      </w:pPr>
      <w:r>
        <w:t>But</w:t>
      </w:r>
    </w:p>
    <w:p w:rsidR="00773A10" w:rsidRPr="00FD7BF0" w:rsidRDefault="00773A10" w:rsidP="00773A10">
      <w:pPr>
        <w:pStyle w:val="05BAFUGrundschrift"/>
        <w:rPr>
          <w:lang w:val="fr-FR"/>
        </w:rPr>
      </w:pPr>
      <w:r>
        <w:rPr>
          <w:lang w:val="fr-FR"/>
        </w:rPr>
        <w:t>Le présent plan d’élimination des déchets règle la manipulation des déchets contaminés par des produits biologiques</w:t>
      </w:r>
      <w:r w:rsidRPr="00FD7BF0">
        <w:rPr>
          <w:lang w:val="fr-FR"/>
        </w:rPr>
        <w:t>.</w:t>
      </w:r>
      <w:r>
        <w:rPr>
          <w:lang w:val="fr-FR"/>
        </w:rPr>
        <w:t xml:space="preserve"> </w:t>
      </w:r>
      <w:r>
        <w:rPr>
          <w:lang w:val="fr-FR"/>
        </w:rPr>
        <w:t>L’inactivation de déchets contaminés constitue un aspect capital qui vise à minimiser la dissémination d’organismes hors du laboratoire et éviter ainsi de mettre en danger l’homme et l’environnement</w:t>
      </w:r>
      <w:r w:rsidRPr="00FD7BF0">
        <w:rPr>
          <w:lang w:val="fr-FR"/>
        </w:rPr>
        <w:t>.</w:t>
      </w:r>
    </w:p>
    <w:tbl>
      <w:tblPr>
        <w:tblStyle w:val="Tabellenraster"/>
        <w:tblW w:w="0" w:type="auto"/>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CellMar>
          <w:top w:w="85" w:type="dxa"/>
          <w:left w:w="85" w:type="dxa"/>
          <w:bottom w:w="85" w:type="dxa"/>
          <w:right w:w="85" w:type="dxa"/>
        </w:tblCellMar>
        <w:tblLook w:val="04A0" w:firstRow="1" w:lastRow="0" w:firstColumn="1" w:lastColumn="0" w:noHBand="0" w:noVBand="1"/>
      </w:tblPr>
      <w:tblGrid>
        <w:gridCol w:w="9854"/>
      </w:tblGrid>
      <w:tr w:rsidR="00C249F0" w:rsidRPr="00C249F0" w:rsidTr="005028CE">
        <w:tc>
          <w:tcPr>
            <w:tcW w:w="9854" w:type="dxa"/>
            <w:shd w:val="clear" w:color="auto" w:fill="F2F2F2" w:themeFill="background1" w:themeFillShade="F2"/>
            <w:vAlign w:val="center"/>
          </w:tcPr>
          <w:p w:rsidR="005028CE" w:rsidRPr="00FD7BF0" w:rsidRDefault="005028CE" w:rsidP="005028CE">
            <w:pPr>
              <w:pStyle w:val="05BAFUGrundschriftohneAbstanddanach"/>
              <w:rPr>
                <w:lang w:val="fr-FR"/>
              </w:rPr>
            </w:pPr>
            <w:r>
              <w:rPr>
                <w:lang w:val="fr-FR"/>
              </w:rPr>
              <w:t>Les techniques d’inactivation applicables sont la stérilisation à la vapeur (autoclavage), l’inactivation chimique ainsi que la stérilisation à la chaleur (sèche)</w:t>
            </w:r>
            <w:r w:rsidRPr="00FD7BF0">
              <w:rPr>
                <w:lang w:val="fr-FR"/>
              </w:rPr>
              <w:t>.</w:t>
            </w:r>
          </w:p>
          <w:p w:rsidR="005028CE" w:rsidRPr="00FD7BF0" w:rsidRDefault="005028CE" w:rsidP="005028CE">
            <w:pPr>
              <w:pStyle w:val="Erluterung1"/>
              <w:rPr>
                <w:lang w:val="fr-FR"/>
              </w:rPr>
            </w:pPr>
          </w:p>
          <w:p w:rsidR="005028CE" w:rsidRPr="00FD7BF0" w:rsidRDefault="005028CE" w:rsidP="005028CE">
            <w:pPr>
              <w:pStyle w:val="05BAFUGrundschriftohneAbstanddanach"/>
              <w:rPr>
                <w:lang w:val="fr-FR"/>
              </w:rPr>
            </w:pPr>
            <w:r>
              <w:rPr>
                <w:lang w:val="fr-FR"/>
              </w:rPr>
              <w:t>Les étapes ci-après sont importantes pour l’organisation de l’inactivation et de l’élimination des déchets :</w:t>
            </w:r>
          </w:p>
          <w:p w:rsidR="005028CE" w:rsidRPr="00FD7BF0" w:rsidRDefault="005028CE" w:rsidP="005028CE">
            <w:pPr>
              <w:pStyle w:val="05BAFUGrundschriftohneAbstanddanach"/>
              <w:rPr>
                <w:lang w:val="fr-FR"/>
              </w:rPr>
            </w:pPr>
            <w:r w:rsidRPr="00FD7BF0">
              <w:rPr>
                <w:lang w:val="fr-FR"/>
              </w:rPr>
              <w:t>1.</w:t>
            </w:r>
            <w:r w:rsidRPr="00FD7BF0">
              <w:rPr>
                <w:lang w:val="fr-FR"/>
              </w:rPr>
              <w:tab/>
            </w:r>
            <w:r>
              <w:rPr>
                <w:lang w:val="fr-FR"/>
              </w:rPr>
              <w:t>Description des déchets et du mode de collecte</w:t>
            </w:r>
          </w:p>
          <w:p w:rsidR="005028CE" w:rsidRPr="00FD7BF0" w:rsidRDefault="005028CE" w:rsidP="005028CE">
            <w:pPr>
              <w:pStyle w:val="05BAFUGrundschriftohneAbstanddanach"/>
              <w:rPr>
                <w:lang w:val="fr-FR"/>
              </w:rPr>
            </w:pPr>
            <w:r w:rsidRPr="00FD7BF0">
              <w:rPr>
                <w:lang w:val="fr-FR"/>
              </w:rPr>
              <w:t>2.</w:t>
            </w:r>
            <w:r w:rsidRPr="00FD7BF0">
              <w:rPr>
                <w:lang w:val="fr-FR"/>
              </w:rPr>
              <w:tab/>
            </w:r>
            <w:r>
              <w:rPr>
                <w:lang w:val="fr-FR"/>
              </w:rPr>
              <w:t>Marquage</w:t>
            </w:r>
          </w:p>
          <w:p w:rsidR="005028CE" w:rsidRPr="00FD7BF0" w:rsidRDefault="005028CE" w:rsidP="005028CE">
            <w:pPr>
              <w:pStyle w:val="05BAFUGrundschriftohneAbstanddanach"/>
              <w:rPr>
                <w:lang w:val="fr-FR"/>
              </w:rPr>
            </w:pPr>
            <w:r w:rsidRPr="00FD7BF0">
              <w:rPr>
                <w:lang w:val="fr-FR"/>
              </w:rPr>
              <w:t>3.</w:t>
            </w:r>
            <w:r w:rsidRPr="00FD7BF0">
              <w:rPr>
                <w:lang w:val="fr-FR"/>
              </w:rPr>
              <w:tab/>
            </w:r>
            <w:r>
              <w:rPr>
                <w:lang w:val="fr-FR"/>
              </w:rPr>
              <w:t>Entreposage</w:t>
            </w:r>
          </w:p>
          <w:p w:rsidR="005028CE" w:rsidRPr="00FD7BF0" w:rsidRDefault="005028CE" w:rsidP="005028CE">
            <w:pPr>
              <w:pStyle w:val="05BAFUGrundschriftohneAbstanddanach"/>
              <w:rPr>
                <w:lang w:val="fr-FR"/>
              </w:rPr>
            </w:pPr>
            <w:r w:rsidRPr="00FD7BF0">
              <w:rPr>
                <w:lang w:val="fr-FR"/>
              </w:rPr>
              <w:t>4.</w:t>
            </w:r>
            <w:r w:rsidRPr="00FD7BF0">
              <w:rPr>
                <w:lang w:val="fr-FR"/>
              </w:rPr>
              <w:tab/>
              <w:t>Transport</w:t>
            </w:r>
          </w:p>
          <w:p w:rsidR="005028CE" w:rsidRPr="00FD7BF0" w:rsidRDefault="005028CE" w:rsidP="005028CE">
            <w:pPr>
              <w:pStyle w:val="05BAFUGrundschriftohneAbstanddanach"/>
              <w:rPr>
                <w:lang w:val="fr-FR"/>
              </w:rPr>
            </w:pPr>
            <w:r w:rsidRPr="00FD7BF0">
              <w:rPr>
                <w:lang w:val="fr-FR"/>
              </w:rPr>
              <w:t>5.</w:t>
            </w:r>
            <w:r w:rsidRPr="00FD7BF0">
              <w:rPr>
                <w:lang w:val="fr-FR"/>
              </w:rPr>
              <w:tab/>
            </w:r>
            <w:r>
              <w:rPr>
                <w:lang w:val="fr-FR"/>
              </w:rPr>
              <w:t>Inactivation (méthode, technique</w:t>
            </w:r>
            <w:r w:rsidRPr="00FD7BF0">
              <w:rPr>
                <w:lang w:val="fr-FR"/>
              </w:rPr>
              <w:t>)</w:t>
            </w:r>
          </w:p>
          <w:p w:rsidR="00CA7010" w:rsidRPr="005028CE" w:rsidRDefault="005028CE" w:rsidP="005028CE">
            <w:pPr>
              <w:pStyle w:val="05BAFUGrundschriftohneAbstanddanach"/>
              <w:rPr>
                <w:lang w:val="fr-FR"/>
              </w:rPr>
            </w:pPr>
            <w:r w:rsidRPr="00FD7BF0">
              <w:rPr>
                <w:lang w:val="fr-FR"/>
              </w:rPr>
              <w:t>6.</w:t>
            </w:r>
            <w:r w:rsidRPr="00FD7BF0">
              <w:rPr>
                <w:lang w:val="fr-FR"/>
              </w:rPr>
              <w:tab/>
            </w:r>
            <w:r>
              <w:rPr>
                <w:lang w:val="fr-FR"/>
              </w:rPr>
              <w:t>Élimination</w:t>
            </w:r>
          </w:p>
        </w:tc>
      </w:tr>
    </w:tbl>
    <w:p w:rsidR="00984E0B" w:rsidRPr="00DD5049" w:rsidRDefault="00984E0B" w:rsidP="00C249F0">
      <w:pPr>
        <w:pStyle w:val="02BAFUTitelnummeriert"/>
        <w:numPr>
          <w:ilvl w:val="0"/>
          <w:numId w:val="0"/>
        </w:numPr>
        <w:ind w:left="-14"/>
      </w:pPr>
    </w:p>
    <w:p w:rsidR="00C00D3A" w:rsidRPr="00C00D3A" w:rsidRDefault="00C00D3A" w:rsidP="00C00D3A">
      <w:pPr>
        <w:pStyle w:val="02BAFUTitelnummeriert"/>
        <w:rPr>
          <w:lang w:val="fr-FR" w:eastAsia="de-DE"/>
        </w:rPr>
      </w:pPr>
      <w:r w:rsidRPr="00C00D3A">
        <w:rPr>
          <w:lang w:val="fr-FR" w:eastAsia="de-DE"/>
        </w:rPr>
        <w:t xml:space="preserve">Élimination des déchets contaminés par des produits biologiques </w:t>
      </w:r>
    </w:p>
    <w:p w:rsidR="00C00D3A" w:rsidRPr="00C00D3A" w:rsidRDefault="00C00D3A" w:rsidP="00C00D3A">
      <w:pPr>
        <w:pStyle w:val="03BAFUUntertitelnummeriert"/>
        <w:numPr>
          <w:ilvl w:val="0"/>
          <w:numId w:val="0"/>
        </w:numPr>
        <w:ind w:left="357" w:hanging="357"/>
        <w:rPr>
          <w:lang w:val="fr-FR" w:eastAsia="de-DE"/>
        </w:rPr>
      </w:pPr>
      <w:r w:rsidRPr="00C00D3A">
        <w:rPr>
          <w:lang w:val="fr-FR" w:eastAsia="de-DE"/>
        </w:rPr>
        <w:t>2.1</w:t>
      </w:r>
      <w:r>
        <w:rPr>
          <w:lang w:val="fr-FR" w:eastAsia="de-DE"/>
        </w:rPr>
        <w:tab/>
      </w:r>
      <w:r w:rsidRPr="00C00D3A">
        <w:rPr>
          <w:lang w:val="fr-FR" w:eastAsia="de-DE"/>
        </w:rPr>
        <w:tab/>
        <w:t>Élimination de déchets présentant un danger de blessure (</w:t>
      </w:r>
      <w:proofErr w:type="spellStart"/>
      <w:r w:rsidRPr="00C00D3A">
        <w:rPr>
          <w:lang w:val="fr-FR" w:eastAsia="de-DE"/>
        </w:rPr>
        <w:t>sharps</w:t>
      </w:r>
      <w:proofErr w:type="spellEnd"/>
      <w:r w:rsidRPr="00C00D3A">
        <w:rPr>
          <w:lang w:val="fr-FR" w:eastAsia="de-DE"/>
        </w:rPr>
        <w:t>) en tant que déchets spéciaux</w:t>
      </w:r>
    </w:p>
    <w:p w:rsidR="00C00D3A" w:rsidRDefault="00C00D3A" w:rsidP="00C00D3A">
      <w:pPr>
        <w:spacing w:after="60" w:line="280" w:lineRule="atLeast"/>
        <w:rPr>
          <w:rFonts w:ascii="Helvetica" w:eastAsia="Times" w:hAnsi="Helvetica" w:cs="Times New Roman"/>
          <w:sz w:val="20"/>
          <w:szCs w:val="20"/>
          <w:lang w:val="fr-FR" w:eastAsia="de-DE"/>
        </w:rPr>
      </w:pPr>
      <w:r w:rsidRPr="00C00D3A">
        <w:rPr>
          <w:rFonts w:ascii="Helvetica" w:eastAsia="Times" w:hAnsi="Helvetica" w:cs="Times New Roman"/>
          <w:sz w:val="20"/>
          <w:szCs w:val="20"/>
          <w:lang w:val="fr-FR" w:eastAsia="de-DE"/>
        </w:rPr>
        <w:t>Les déchets présentant un danger de blessure (</w:t>
      </w:r>
      <w:proofErr w:type="spellStart"/>
      <w:r w:rsidRPr="00C00D3A">
        <w:rPr>
          <w:rFonts w:ascii="Helvetica" w:eastAsia="Times" w:hAnsi="Helvetica" w:cs="Times New Roman"/>
          <w:i/>
          <w:sz w:val="20"/>
          <w:szCs w:val="20"/>
          <w:lang w:val="fr-FR" w:eastAsia="de-DE"/>
        </w:rPr>
        <w:t>sharps</w:t>
      </w:r>
      <w:proofErr w:type="spellEnd"/>
      <w:r w:rsidRPr="00C00D3A">
        <w:rPr>
          <w:rFonts w:ascii="Helvetica" w:eastAsia="Times" w:hAnsi="Helvetica" w:cs="Times New Roman"/>
          <w:sz w:val="20"/>
          <w:szCs w:val="20"/>
          <w:lang w:val="fr-FR" w:eastAsia="de-DE"/>
        </w:rPr>
        <w:t xml:space="preserve">) ne sont pas éliminés avec les ordures normales de l’entreprise mais en tant que déchets spéciaux. Lorsqu’ils sont entrés en contact avec du matériel infectieux, ils doivent au préalable être inactivés. </w:t>
      </w:r>
    </w:p>
    <w:p w:rsidR="00C00D3A" w:rsidRDefault="00C00D3A">
      <w:pPr>
        <w:rPr>
          <w:rFonts w:ascii="Helvetica" w:eastAsia="Times" w:hAnsi="Helvetica" w:cs="Times New Roman"/>
          <w:sz w:val="20"/>
          <w:szCs w:val="20"/>
          <w:lang w:val="fr-FR" w:eastAsia="de-DE"/>
        </w:rPr>
      </w:pPr>
      <w:r>
        <w:rPr>
          <w:rFonts w:ascii="Helvetica" w:eastAsia="Times" w:hAnsi="Helvetica" w:cs="Times New Roman"/>
          <w:sz w:val="20"/>
          <w:szCs w:val="20"/>
          <w:lang w:val="fr-FR" w:eastAsia="de-DE"/>
        </w:rPr>
        <w:br w:type="page"/>
      </w:r>
    </w:p>
    <w:p w:rsidR="00C00D3A" w:rsidRPr="00C00D3A" w:rsidRDefault="00C00D3A" w:rsidP="00C00D3A">
      <w:pPr>
        <w:pStyle w:val="06BAFULegendeTitel"/>
        <w:rPr>
          <w:lang w:val="fr-FR"/>
        </w:rPr>
      </w:pPr>
      <w:r w:rsidRPr="00C00D3A">
        <w:rPr>
          <w:lang w:val="fr-FR"/>
        </w:rPr>
        <w:lastRenderedPageBreak/>
        <w:t xml:space="preserve">Codage en tant que déchets spéciaux selon </w:t>
      </w:r>
      <w:proofErr w:type="spellStart"/>
      <w:r w:rsidRPr="00C00D3A">
        <w:rPr>
          <w:lang w:val="fr-FR"/>
        </w:rPr>
        <w:t>OMoD</w:t>
      </w:r>
      <w:proofErr w:type="spellEnd"/>
      <w:r w:rsidRPr="00C00D3A">
        <w:rPr>
          <w:lang w:val="fr-FR"/>
        </w:rPr>
        <w:t xml:space="preserve"> </w:t>
      </w:r>
    </w:p>
    <w:tbl>
      <w:tblPr>
        <w:tblW w:w="9888" w:type="dxa"/>
        <w:tblInd w:w="-5" w:type="dxa"/>
        <w:tblLayout w:type="fixed"/>
        <w:tblLook w:val="01E0" w:firstRow="1" w:lastRow="1" w:firstColumn="1" w:lastColumn="1" w:noHBand="0" w:noVBand="0"/>
      </w:tblPr>
      <w:tblGrid>
        <w:gridCol w:w="1530"/>
        <w:gridCol w:w="8358"/>
      </w:tblGrid>
      <w:tr w:rsidR="00EE022D" w:rsidRPr="00EE022D" w:rsidTr="003F215E">
        <w:tc>
          <w:tcPr>
            <w:tcW w:w="1530" w:type="dxa"/>
            <w:tcBorders>
              <w:top w:val="single" w:sz="4" w:space="0" w:color="auto"/>
            </w:tcBorders>
            <w:shd w:val="clear" w:color="auto" w:fill="auto"/>
          </w:tcPr>
          <w:p w:rsidR="00EE022D" w:rsidRPr="00EE022D" w:rsidRDefault="00FF4722" w:rsidP="006E0165">
            <w:pPr>
              <w:pStyle w:val="Tabelle"/>
              <w:overflowPunct w:val="0"/>
              <w:autoSpaceDE w:val="0"/>
              <w:autoSpaceDN w:val="0"/>
              <w:adjustRightInd w:val="0"/>
              <w:jc w:val="both"/>
              <w:textAlignment w:val="baseline"/>
              <w:rPr>
                <w:b/>
                <w:sz w:val="16"/>
                <w:szCs w:val="16"/>
                <w:lang w:val="de-CH"/>
              </w:rPr>
            </w:pPr>
            <w:r w:rsidRPr="00FF4722">
              <w:rPr>
                <w:b/>
                <w:sz w:val="16"/>
                <w:szCs w:val="16"/>
                <w:lang w:val="fr-FR"/>
              </w:rPr>
              <w:t>Code LMD</w:t>
            </w:r>
            <w:r w:rsidRPr="00FF4722">
              <w:rPr>
                <w:b/>
                <w:sz w:val="16"/>
                <w:szCs w:val="16"/>
                <w:vertAlign w:val="superscript"/>
                <w:lang w:val="fr-FR"/>
              </w:rPr>
              <w:t>1</w:t>
            </w:r>
          </w:p>
        </w:tc>
        <w:tc>
          <w:tcPr>
            <w:tcW w:w="8358" w:type="dxa"/>
            <w:tcBorders>
              <w:top w:val="single" w:sz="4" w:space="0" w:color="auto"/>
            </w:tcBorders>
            <w:shd w:val="clear" w:color="auto" w:fill="auto"/>
          </w:tcPr>
          <w:p w:rsidR="00EE022D" w:rsidRPr="00EE022D" w:rsidRDefault="00FF4722" w:rsidP="006E0165">
            <w:pPr>
              <w:pStyle w:val="Tabelle"/>
              <w:overflowPunct w:val="0"/>
              <w:autoSpaceDE w:val="0"/>
              <w:autoSpaceDN w:val="0"/>
              <w:adjustRightInd w:val="0"/>
              <w:jc w:val="both"/>
              <w:textAlignment w:val="baseline"/>
              <w:rPr>
                <w:b/>
                <w:sz w:val="16"/>
                <w:szCs w:val="16"/>
                <w:lang w:val="de-CH"/>
              </w:rPr>
            </w:pPr>
            <w:r w:rsidRPr="00FF4722">
              <w:rPr>
                <w:b/>
                <w:sz w:val="16"/>
                <w:szCs w:val="16"/>
                <w:lang w:val="fr-FR"/>
              </w:rPr>
              <w:t>Description des déchets</w:t>
            </w:r>
          </w:p>
        </w:tc>
      </w:tr>
      <w:tr w:rsidR="00EE022D" w:rsidRPr="00FF4722" w:rsidTr="003F215E">
        <w:tc>
          <w:tcPr>
            <w:tcW w:w="1530" w:type="dxa"/>
            <w:shd w:val="clear" w:color="auto" w:fill="F2F2F2" w:themeFill="background1" w:themeFillShade="F2"/>
            <w:vAlign w:val="center"/>
          </w:tcPr>
          <w:p w:rsidR="00EE022D" w:rsidRPr="00EE022D" w:rsidRDefault="00EE022D" w:rsidP="006E0165">
            <w:pPr>
              <w:pStyle w:val="Tabelle"/>
              <w:overflowPunct w:val="0"/>
              <w:autoSpaceDE w:val="0"/>
              <w:autoSpaceDN w:val="0"/>
              <w:adjustRightInd w:val="0"/>
              <w:jc w:val="both"/>
              <w:textAlignment w:val="baseline"/>
              <w:rPr>
                <w:sz w:val="16"/>
                <w:szCs w:val="16"/>
                <w:lang w:val="de-CH"/>
              </w:rPr>
            </w:pPr>
            <w:r w:rsidRPr="00EE022D">
              <w:rPr>
                <w:sz w:val="16"/>
                <w:szCs w:val="16"/>
                <w:lang w:val="de-CH"/>
              </w:rPr>
              <w:t>18 01 01</w:t>
            </w:r>
          </w:p>
        </w:tc>
        <w:tc>
          <w:tcPr>
            <w:tcW w:w="8358" w:type="dxa"/>
            <w:shd w:val="clear" w:color="auto" w:fill="F2F2F2" w:themeFill="background1" w:themeFillShade="F2"/>
          </w:tcPr>
          <w:p w:rsidR="00EE022D" w:rsidRPr="00FF4722" w:rsidRDefault="00FF4722" w:rsidP="006E0165">
            <w:pPr>
              <w:pStyle w:val="Tabelle"/>
              <w:overflowPunct w:val="0"/>
              <w:autoSpaceDE w:val="0"/>
              <w:autoSpaceDN w:val="0"/>
              <w:adjustRightInd w:val="0"/>
              <w:jc w:val="both"/>
              <w:textAlignment w:val="baseline"/>
              <w:rPr>
                <w:sz w:val="16"/>
                <w:szCs w:val="16"/>
                <w:lang w:val="fr-CH"/>
              </w:rPr>
            </w:pPr>
            <w:r w:rsidRPr="00FF4722">
              <w:rPr>
                <w:sz w:val="16"/>
                <w:szCs w:val="16"/>
                <w:lang w:val="fr-FR"/>
              </w:rPr>
              <w:t>Déchets présentant un danger de blessure (</w:t>
            </w:r>
            <w:proofErr w:type="spellStart"/>
            <w:r w:rsidRPr="00FF4722">
              <w:rPr>
                <w:sz w:val="16"/>
                <w:szCs w:val="16"/>
                <w:lang w:val="fr-FR"/>
              </w:rPr>
              <w:t>sharps</w:t>
            </w:r>
            <w:proofErr w:type="spellEnd"/>
            <w:r w:rsidRPr="00FF4722">
              <w:rPr>
                <w:sz w:val="16"/>
                <w:szCs w:val="16"/>
                <w:lang w:val="fr-FR"/>
              </w:rPr>
              <w:t>)</w:t>
            </w:r>
          </w:p>
        </w:tc>
      </w:tr>
    </w:tbl>
    <w:p w:rsidR="00FF4722" w:rsidRDefault="00FF4722" w:rsidP="00FF4722">
      <w:pPr>
        <w:pStyle w:val="07BAFUTabellelinks"/>
        <w:rPr>
          <w:lang w:val="fr-CH"/>
        </w:rPr>
      </w:pPr>
    </w:p>
    <w:p w:rsidR="005A2236" w:rsidRPr="00FF4722" w:rsidRDefault="00FF4722" w:rsidP="00FF4722">
      <w:pPr>
        <w:pStyle w:val="07BAFUTabellelinks"/>
        <w:rPr>
          <w:lang w:val="fr-CH"/>
        </w:rPr>
      </w:pPr>
      <w:r w:rsidRPr="00FF4722">
        <w:rPr>
          <w:vertAlign w:val="superscript"/>
          <w:lang w:val="fr-CH"/>
        </w:rPr>
        <w:t xml:space="preserve">1 </w:t>
      </w:r>
      <w:r w:rsidRPr="00FF4722">
        <w:rPr>
          <w:lang w:val="fr-CH"/>
        </w:rPr>
        <w:t>LMD : Code des déchets selon l’Ordonnance du DETEC du 18 octobre 2005 concernant les listes pour les mouvements de déchets ; RS 814.610.1</w:t>
      </w:r>
    </w:p>
    <w:p w:rsidR="00FF4722" w:rsidRDefault="00FF4722" w:rsidP="005A2236">
      <w:pPr>
        <w:spacing w:after="60"/>
        <w:rPr>
          <w:rFonts w:ascii="Arial" w:hAnsi="Arial"/>
          <w:b/>
          <w:sz w:val="16"/>
          <w:szCs w:val="16"/>
        </w:rPr>
      </w:pPr>
    </w:p>
    <w:p w:rsidR="00E976DB" w:rsidRPr="00E976DB" w:rsidRDefault="00E976DB" w:rsidP="00E976DB">
      <w:pPr>
        <w:spacing w:after="60"/>
        <w:rPr>
          <w:rFonts w:ascii="Arial" w:hAnsi="Arial"/>
          <w:b/>
          <w:sz w:val="16"/>
          <w:szCs w:val="16"/>
          <w:lang w:val="fr-FR"/>
        </w:rPr>
      </w:pPr>
      <w:r w:rsidRPr="00E976DB">
        <w:rPr>
          <w:rFonts w:ascii="Arial" w:hAnsi="Arial"/>
          <w:b/>
          <w:sz w:val="16"/>
          <w:szCs w:val="16"/>
          <w:lang w:val="fr-FR"/>
        </w:rPr>
        <w:t>Classification en tant que marchandise dangereuse selon l’ADR/SDR :</w:t>
      </w:r>
    </w:p>
    <w:tbl>
      <w:tblPr>
        <w:tblW w:w="9874" w:type="dxa"/>
        <w:tblInd w:w="-5" w:type="dxa"/>
        <w:tblLayout w:type="fixed"/>
        <w:tblLook w:val="01E0" w:firstRow="1" w:lastRow="1" w:firstColumn="1" w:lastColumn="1" w:noHBand="0" w:noVBand="0"/>
      </w:tblPr>
      <w:tblGrid>
        <w:gridCol w:w="1531"/>
        <w:gridCol w:w="1417"/>
        <w:gridCol w:w="1553"/>
        <w:gridCol w:w="851"/>
        <w:gridCol w:w="4522"/>
      </w:tblGrid>
      <w:tr w:rsidR="005A2236" w:rsidRPr="00E976DB" w:rsidTr="003F215E">
        <w:tc>
          <w:tcPr>
            <w:tcW w:w="1531" w:type="dxa"/>
            <w:tcBorders>
              <w:top w:val="single" w:sz="4" w:space="0" w:color="auto"/>
            </w:tcBorders>
            <w:shd w:val="clear" w:color="auto" w:fill="auto"/>
          </w:tcPr>
          <w:p w:rsidR="005A2236" w:rsidRPr="005A2236" w:rsidRDefault="00E976DB" w:rsidP="006E0165">
            <w:pPr>
              <w:pStyle w:val="Tabelle"/>
              <w:overflowPunct w:val="0"/>
              <w:autoSpaceDE w:val="0"/>
              <w:autoSpaceDN w:val="0"/>
              <w:adjustRightInd w:val="0"/>
              <w:jc w:val="both"/>
              <w:textAlignment w:val="baseline"/>
              <w:rPr>
                <w:b/>
                <w:sz w:val="16"/>
                <w:szCs w:val="16"/>
                <w:lang w:val="de-CH"/>
              </w:rPr>
            </w:pPr>
            <w:proofErr w:type="spellStart"/>
            <w:r>
              <w:rPr>
                <w:b/>
                <w:sz w:val="16"/>
                <w:szCs w:val="16"/>
                <w:lang w:val="de-CH"/>
              </w:rPr>
              <w:t>C</w:t>
            </w:r>
            <w:r w:rsidR="005A2236" w:rsidRPr="005A2236">
              <w:rPr>
                <w:b/>
                <w:sz w:val="16"/>
                <w:szCs w:val="16"/>
                <w:lang w:val="de-CH"/>
              </w:rPr>
              <w:t>lasse</w:t>
            </w:r>
            <w:proofErr w:type="spellEnd"/>
          </w:p>
        </w:tc>
        <w:tc>
          <w:tcPr>
            <w:tcW w:w="1417" w:type="dxa"/>
            <w:tcBorders>
              <w:top w:val="single" w:sz="4" w:space="0" w:color="auto"/>
            </w:tcBorders>
            <w:shd w:val="clear" w:color="auto" w:fill="auto"/>
          </w:tcPr>
          <w:p w:rsidR="005A2236" w:rsidRPr="005A2236" w:rsidRDefault="00E976DB" w:rsidP="00E976DB">
            <w:pPr>
              <w:pStyle w:val="Tabelle"/>
              <w:overflowPunct w:val="0"/>
              <w:autoSpaceDE w:val="0"/>
              <w:autoSpaceDN w:val="0"/>
              <w:adjustRightInd w:val="0"/>
              <w:jc w:val="both"/>
              <w:textAlignment w:val="baseline"/>
              <w:rPr>
                <w:b/>
                <w:sz w:val="16"/>
                <w:szCs w:val="16"/>
                <w:lang w:val="de-CH"/>
              </w:rPr>
            </w:pPr>
            <w:proofErr w:type="spellStart"/>
            <w:r>
              <w:rPr>
                <w:b/>
                <w:sz w:val="16"/>
                <w:szCs w:val="16"/>
                <w:lang w:val="de-CH"/>
              </w:rPr>
              <w:t>C</w:t>
            </w:r>
            <w:r w:rsidR="005A2236" w:rsidRPr="005A2236">
              <w:rPr>
                <w:b/>
                <w:sz w:val="16"/>
                <w:szCs w:val="16"/>
                <w:lang w:val="de-CH"/>
              </w:rPr>
              <w:t>at</w:t>
            </w:r>
            <w:r>
              <w:rPr>
                <w:b/>
                <w:sz w:val="16"/>
                <w:szCs w:val="16"/>
                <w:lang w:val="de-CH"/>
              </w:rPr>
              <w:t>é</w:t>
            </w:r>
            <w:r w:rsidR="005A2236" w:rsidRPr="005A2236">
              <w:rPr>
                <w:b/>
                <w:sz w:val="16"/>
                <w:szCs w:val="16"/>
                <w:lang w:val="de-CH"/>
              </w:rPr>
              <w:t>gorie</w:t>
            </w:r>
            <w:proofErr w:type="spellEnd"/>
          </w:p>
        </w:tc>
        <w:tc>
          <w:tcPr>
            <w:tcW w:w="1553" w:type="dxa"/>
            <w:tcBorders>
              <w:top w:val="single" w:sz="4" w:space="0" w:color="auto"/>
            </w:tcBorders>
            <w:shd w:val="clear" w:color="auto" w:fill="auto"/>
          </w:tcPr>
          <w:p w:rsidR="005A2236" w:rsidRPr="005A2236" w:rsidRDefault="00E976DB" w:rsidP="006E0165">
            <w:pPr>
              <w:pStyle w:val="Tabelle"/>
              <w:overflowPunct w:val="0"/>
              <w:autoSpaceDE w:val="0"/>
              <w:autoSpaceDN w:val="0"/>
              <w:adjustRightInd w:val="0"/>
              <w:jc w:val="both"/>
              <w:textAlignment w:val="baseline"/>
              <w:rPr>
                <w:b/>
                <w:sz w:val="16"/>
                <w:szCs w:val="16"/>
                <w:lang w:val="de-CH"/>
              </w:rPr>
            </w:pPr>
            <w:r w:rsidRPr="00E976DB">
              <w:rPr>
                <w:b/>
                <w:sz w:val="16"/>
                <w:szCs w:val="16"/>
                <w:lang w:val="fr-FR"/>
              </w:rPr>
              <w:t>Numéro ONU</w:t>
            </w:r>
          </w:p>
        </w:tc>
        <w:tc>
          <w:tcPr>
            <w:tcW w:w="851" w:type="dxa"/>
            <w:tcBorders>
              <w:top w:val="single" w:sz="4" w:space="0" w:color="auto"/>
            </w:tcBorders>
            <w:shd w:val="clear" w:color="auto" w:fill="auto"/>
          </w:tcPr>
          <w:p w:rsidR="005A2236" w:rsidRPr="005A2236" w:rsidRDefault="00E976DB" w:rsidP="006E0165">
            <w:pPr>
              <w:pStyle w:val="Tabelle"/>
              <w:overflowPunct w:val="0"/>
              <w:autoSpaceDE w:val="0"/>
              <w:autoSpaceDN w:val="0"/>
              <w:adjustRightInd w:val="0"/>
              <w:jc w:val="both"/>
              <w:textAlignment w:val="baseline"/>
              <w:rPr>
                <w:b/>
                <w:sz w:val="16"/>
                <w:szCs w:val="16"/>
                <w:lang w:val="de-CH"/>
              </w:rPr>
            </w:pPr>
            <w:r w:rsidRPr="00E976DB">
              <w:rPr>
                <w:b/>
                <w:sz w:val="16"/>
                <w:szCs w:val="16"/>
                <w:lang w:val="fr-FR"/>
              </w:rPr>
              <w:t>GE</w:t>
            </w:r>
            <w:r w:rsidRPr="00E976DB">
              <w:rPr>
                <w:b/>
                <w:sz w:val="16"/>
                <w:szCs w:val="16"/>
                <w:vertAlign w:val="superscript"/>
                <w:lang w:val="fr-FR"/>
              </w:rPr>
              <w:t>2</w:t>
            </w:r>
          </w:p>
        </w:tc>
        <w:tc>
          <w:tcPr>
            <w:tcW w:w="4522" w:type="dxa"/>
            <w:tcBorders>
              <w:top w:val="single" w:sz="4" w:space="0" w:color="auto"/>
            </w:tcBorders>
            <w:shd w:val="clear" w:color="auto" w:fill="auto"/>
          </w:tcPr>
          <w:p w:rsidR="005A2236" w:rsidRPr="00E976DB" w:rsidRDefault="00E976DB" w:rsidP="00E976DB">
            <w:pPr>
              <w:pStyle w:val="Tabelle"/>
              <w:overflowPunct w:val="0"/>
              <w:autoSpaceDE w:val="0"/>
              <w:autoSpaceDN w:val="0"/>
              <w:adjustRightInd w:val="0"/>
              <w:textAlignment w:val="baseline"/>
              <w:rPr>
                <w:b/>
                <w:sz w:val="16"/>
                <w:szCs w:val="16"/>
                <w:lang w:val="fr-CH"/>
              </w:rPr>
            </w:pPr>
            <w:r w:rsidRPr="00E976DB">
              <w:rPr>
                <w:b/>
                <w:sz w:val="16"/>
                <w:szCs w:val="16"/>
                <w:lang w:val="fr-FR"/>
              </w:rPr>
              <w:t>Quantité maximale autorisée pour chaque unité de transport selon l’ADR - OCS</w:t>
            </w:r>
          </w:p>
        </w:tc>
      </w:tr>
      <w:tr w:rsidR="005A2236" w:rsidRPr="005A2236" w:rsidTr="003F215E">
        <w:tc>
          <w:tcPr>
            <w:tcW w:w="1531" w:type="dxa"/>
            <w:shd w:val="clear" w:color="auto" w:fill="F2F2F2" w:themeFill="background1" w:themeFillShade="F2"/>
            <w:vAlign w:val="center"/>
          </w:tcPr>
          <w:p w:rsidR="005A2236" w:rsidRPr="005A2236" w:rsidRDefault="005A2236" w:rsidP="006E0165">
            <w:pPr>
              <w:pStyle w:val="Tabelle"/>
              <w:overflowPunct w:val="0"/>
              <w:autoSpaceDE w:val="0"/>
              <w:autoSpaceDN w:val="0"/>
              <w:adjustRightInd w:val="0"/>
              <w:jc w:val="both"/>
              <w:textAlignment w:val="baseline"/>
              <w:rPr>
                <w:sz w:val="16"/>
                <w:szCs w:val="16"/>
                <w:lang w:val="de-CH"/>
              </w:rPr>
            </w:pPr>
            <w:r w:rsidRPr="005A2236">
              <w:rPr>
                <w:sz w:val="16"/>
                <w:szCs w:val="16"/>
                <w:lang w:val="de-CH"/>
              </w:rPr>
              <w:t>6.2</w:t>
            </w:r>
          </w:p>
        </w:tc>
        <w:tc>
          <w:tcPr>
            <w:tcW w:w="1417" w:type="dxa"/>
            <w:shd w:val="clear" w:color="auto" w:fill="F2F2F2" w:themeFill="background1" w:themeFillShade="F2"/>
            <w:vAlign w:val="center"/>
          </w:tcPr>
          <w:p w:rsidR="005A2236" w:rsidRPr="005A2236" w:rsidRDefault="005A2236" w:rsidP="006E0165">
            <w:pPr>
              <w:pStyle w:val="Tabelle"/>
              <w:overflowPunct w:val="0"/>
              <w:autoSpaceDE w:val="0"/>
              <w:autoSpaceDN w:val="0"/>
              <w:adjustRightInd w:val="0"/>
              <w:jc w:val="both"/>
              <w:textAlignment w:val="baseline"/>
              <w:rPr>
                <w:sz w:val="16"/>
                <w:szCs w:val="16"/>
                <w:lang w:val="de-CH"/>
              </w:rPr>
            </w:pPr>
            <w:r w:rsidRPr="005A2236">
              <w:rPr>
                <w:sz w:val="16"/>
                <w:szCs w:val="16"/>
                <w:lang w:val="de-CH"/>
              </w:rPr>
              <w:t>B</w:t>
            </w:r>
          </w:p>
        </w:tc>
        <w:tc>
          <w:tcPr>
            <w:tcW w:w="1553" w:type="dxa"/>
            <w:shd w:val="clear" w:color="auto" w:fill="F2F2F2" w:themeFill="background1" w:themeFillShade="F2"/>
            <w:vAlign w:val="center"/>
          </w:tcPr>
          <w:p w:rsidR="005A2236" w:rsidRPr="005A2236" w:rsidRDefault="005A2236" w:rsidP="006E0165">
            <w:pPr>
              <w:pStyle w:val="Tabelle"/>
              <w:overflowPunct w:val="0"/>
              <w:autoSpaceDE w:val="0"/>
              <w:autoSpaceDN w:val="0"/>
              <w:adjustRightInd w:val="0"/>
              <w:jc w:val="both"/>
              <w:textAlignment w:val="baseline"/>
              <w:rPr>
                <w:sz w:val="16"/>
                <w:szCs w:val="16"/>
                <w:lang w:val="de-CH"/>
              </w:rPr>
            </w:pPr>
            <w:r w:rsidRPr="005A2236">
              <w:rPr>
                <w:sz w:val="16"/>
                <w:szCs w:val="16"/>
                <w:lang w:val="de-CH"/>
              </w:rPr>
              <w:t>3291</w:t>
            </w:r>
          </w:p>
        </w:tc>
        <w:tc>
          <w:tcPr>
            <w:tcW w:w="851" w:type="dxa"/>
            <w:shd w:val="clear" w:color="auto" w:fill="F2F2F2" w:themeFill="background1" w:themeFillShade="F2"/>
            <w:vAlign w:val="center"/>
          </w:tcPr>
          <w:p w:rsidR="005A2236" w:rsidRPr="005A2236" w:rsidRDefault="005A2236" w:rsidP="006E0165">
            <w:pPr>
              <w:pStyle w:val="Tabelle"/>
              <w:overflowPunct w:val="0"/>
              <w:autoSpaceDE w:val="0"/>
              <w:autoSpaceDN w:val="0"/>
              <w:adjustRightInd w:val="0"/>
              <w:jc w:val="both"/>
              <w:textAlignment w:val="baseline"/>
              <w:rPr>
                <w:sz w:val="16"/>
                <w:szCs w:val="16"/>
                <w:lang w:val="de-CH"/>
              </w:rPr>
            </w:pPr>
            <w:r w:rsidRPr="005A2236">
              <w:rPr>
                <w:sz w:val="16"/>
                <w:szCs w:val="16"/>
                <w:lang w:val="de-CH"/>
              </w:rPr>
              <w:t>II</w:t>
            </w:r>
          </w:p>
        </w:tc>
        <w:tc>
          <w:tcPr>
            <w:tcW w:w="4522" w:type="dxa"/>
            <w:shd w:val="clear" w:color="auto" w:fill="F2F2F2" w:themeFill="background1" w:themeFillShade="F2"/>
          </w:tcPr>
          <w:p w:rsidR="005A2236" w:rsidRPr="005A2236" w:rsidRDefault="005A2236" w:rsidP="006E0165">
            <w:pPr>
              <w:pStyle w:val="Tabelle"/>
              <w:overflowPunct w:val="0"/>
              <w:autoSpaceDE w:val="0"/>
              <w:autoSpaceDN w:val="0"/>
              <w:adjustRightInd w:val="0"/>
              <w:jc w:val="both"/>
              <w:textAlignment w:val="baseline"/>
              <w:rPr>
                <w:sz w:val="16"/>
                <w:szCs w:val="16"/>
                <w:lang w:val="de-CH"/>
              </w:rPr>
            </w:pPr>
            <w:r w:rsidRPr="005A2236">
              <w:rPr>
                <w:sz w:val="16"/>
                <w:szCs w:val="16"/>
                <w:lang w:val="de-CH"/>
              </w:rPr>
              <w:t xml:space="preserve">333 kg </w:t>
            </w:r>
            <w:r w:rsidR="00B7445E" w:rsidRPr="00B7445E">
              <w:rPr>
                <w:sz w:val="16"/>
                <w:szCs w:val="16"/>
                <w:lang w:val="fr-FR"/>
              </w:rPr>
              <w:t>ou litres</w:t>
            </w:r>
          </w:p>
        </w:tc>
      </w:tr>
    </w:tbl>
    <w:p w:rsidR="00852AF0" w:rsidRDefault="00852AF0">
      <w:pPr>
        <w:sectPr w:rsidR="00852AF0" w:rsidSect="004E03D2">
          <w:headerReference w:type="default" r:id="rId8"/>
          <w:pgSz w:w="11906" w:h="16838" w:code="9"/>
          <w:pgMar w:top="2892" w:right="1021" w:bottom="794" w:left="1021" w:header="850" w:footer="0" w:gutter="0"/>
          <w:cols w:space="708"/>
          <w:docGrid w:linePitch="360"/>
        </w:sectPr>
      </w:pPr>
    </w:p>
    <w:p w:rsidR="00852AF0" w:rsidRPr="00B05053" w:rsidRDefault="00626941" w:rsidP="00626941">
      <w:pPr>
        <w:pStyle w:val="03BAFUUntertitel"/>
        <w:ind w:left="392" w:hanging="392"/>
        <w:rPr>
          <w:rStyle w:val="05BAFUGrundschriftkursiv"/>
        </w:rPr>
      </w:pPr>
      <w:r w:rsidRPr="00B05053">
        <w:rPr>
          <w:noProof/>
          <w:lang w:eastAsia="de-CH"/>
        </w:rPr>
        <w:lastRenderedPageBreak/>
        <w:t>2.2</w:t>
      </w:r>
      <w:r w:rsidRPr="00B05053">
        <w:rPr>
          <w:noProof/>
          <w:lang w:eastAsia="de-CH"/>
        </w:rPr>
        <w:tab/>
      </w:r>
      <w:r w:rsidR="00B05053" w:rsidRPr="00B05053">
        <w:rPr>
          <w:noProof/>
          <w:lang w:eastAsia="de-CH"/>
        </w:rPr>
        <w:t>Plan d’élimination pour les déchets solides</w:t>
      </w:r>
      <w:r w:rsidR="00ED7710" w:rsidRPr="00B05053">
        <w:rPr>
          <w:rStyle w:val="05BAFUGrundschriftkursiv"/>
          <w:b w:val="0"/>
          <w:i w:val="0"/>
        </w:rPr>
        <w:br/>
      </w:r>
    </w:p>
    <w:tbl>
      <w:tblPr>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70" w:type="dxa"/>
          <w:right w:w="70" w:type="dxa"/>
        </w:tblCellMar>
        <w:tblLook w:val="0000" w:firstRow="0" w:lastRow="0" w:firstColumn="0" w:lastColumn="0" w:noHBand="0" w:noVBand="0"/>
      </w:tblPr>
      <w:tblGrid>
        <w:gridCol w:w="700"/>
        <w:gridCol w:w="4364"/>
        <w:gridCol w:w="6591"/>
        <w:gridCol w:w="2881"/>
        <w:gridCol w:w="656"/>
      </w:tblGrid>
      <w:tr w:rsidR="00626941" w:rsidRPr="00626941" w:rsidTr="00626941">
        <w:trPr>
          <w:trHeight w:val="20"/>
          <w:tblHeader/>
        </w:trPr>
        <w:tc>
          <w:tcPr>
            <w:tcW w:w="230" w:type="pct"/>
            <w:tcBorders>
              <w:top w:val="single" w:sz="4" w:space="0" w:color="000000" w:themeColor="text1"/>
              <w:left w:val="nil"/>
              <w:bottom w:val="nil"/>
              <w:right w:val="nil"/>
            </w:tcBorders>
            <w:textDirection w:val="btLr"/>
            <w:vAlign w:val="center"/>
          </w:tcPr>
          <w:p w:rsidR="00626941" w:rsidRPr="00B05053" w:rsidRDefault="00626941" w:rsidP="006E0165">
            <w:pPr>
              <w:spacing w:before="20" w:after="20" w:line="240" w:lineRule="exact"/>
              <w:ind w:left="57" w:right="57"/>
              <w:rPr>
                <w:rFonts w:ascii="Arial" w:hAnsi="Arial" w:cs="Arial"/>
                <w:b/>
                <w:sz w:val="16"/>
                <w:szCs w:val="16"/>
              </w:rPr>
            </w:pPr>
          </w:p>
        </w:tc>
        <w:tc>
          <w:tcPr>
            <w:tcW w:w="1436" w:type="pct"/>
            <w:tcBorders>
              <w:top w:val="single" w:sz="4" w:space="0" w:color="000000" w:themeColor="text1"/>
              <w:left w:val="nil"/>
              <w:bottom w:val="nil"/>
              <w:right w:val="nil"/>
            </w:tcBorders>
            <w:vAlign w:val="center"/>
          </w:tcPr>
          <w:p w:rsidR="00626941" w:rsidRPr="00626941" w:rsidRDefault="00B05053" w:rsidP="006E0165">
            <w:pPr>
              <w:spacing w:before="20" w:after="20" w:line="240" w:lineRule="exact"/>
              <w:ind w:left="57" w:right="57"/>
              <w:rPr>
                <w:rFonts w:ascii="Arial" w:hAnsi="Arial" w:cs="Arial"/>
                <w:b/>
                <w:sz w:val="16"/>
                <w:szCs w:val="16"/>
              </w:rPr>
            </w:pPr>
            <w:r w:rsidRPr="00B05053">
              <w:rPr>
                <w:rFonts w:ascii="Arial" w:hAnsi="Arial" w:cs="Arial"/>
                <w:b/>
                <w:sz w:val="16"/>
                <w:szCs w:val="16"/>
                <w:lang w:val="fr-FR"/>
              </w:rPr>
              <w:t>Déchets solides</w:t>
            </w:r>
          </w:p>
        </w:tc>
        <w:tc>
          <w:tcPr>
            <w:tcW w:w="2169" w:type="pct"/>
            <w:tcBorders>
              <w:top w:val="single" w:sz="4" w:space="0" w:color="000000" w:themeColor="text1"/>
              <w:left w:val="nil"/>
              <w:bottom w:val="nil"/>
              <w:right w:val="nil"/>
            </w:tcBorders>
            <w:vAlign w:val="center"/>
          </w:tcPr>
          <w:p w:rsidR="00626941" w:rsidRPr="00626941" w:rsidRDefault="00B05053" w:rsidP="006E0165">
            <w:pPr>
              <w:spacing w:before="20" w:after="20" w:line="240" w:lineRule="exact"/>
              <w:ind w:left="57" w:right="57"/>
              <w:rPr>
                <w:rFonts w:ascii="Arial" w:hAnsi="Arial" w:cs="Arial"/>
                <w:b/>
                <w:sz w:val="16"/>
                <w:szCs w:val="16"/>
              </w:rPr>
            </w:pPr>
            <w:r w:rsidRPr="00B05053">
              <w:rPr>
                <w:rFonts w:ascii="Arial" w:hAnsi="Arial" w:cs="Arial"/>
                <w:b/>
                <w:sz w:val="16"/>
                <w:szCs w:val="16"/>
                <w:lang w:val="fr-FR"/>
              </w:rPr>
              <w:t>Comment</w:t>
            </w:r>
            <w:r w:rsidR="00626941" w:rsidRPr="00626941">
              <w:rPr>
                <w:rFonts w:ascii="Arial" w:hAnsi="Arial" w:cs="Arial"/>
                <w:b/>
                <w:sz w:val="16"/>
                <w:szCs w:val="16"/>
              </w:rPr>
              <w:t xml:space="preserve"> </w:t>
            </w:r>
          </w:p>
        </w:tc>
        <w:tc>
          <w:tcPr>
            <w:tcW w:w="948" w:type="pct"/>
            <w:tcBorders>
              <w:top w:val="single" w:sz="4" w:space="0" w:color="000000" w:themeColor="text1"/>
              <w:left w:val="nil"/>
              <w:bottom w:val="nil"/>
              <w:right w:val="nil"/>
            </w:tcBorders>
            <w:vAlign w:val="center"/>
          </w:tcPr>
          <w:p w:rsidR="00626941" w:rsidRPr="00626941" w:rsidRDefault="00B05053" w:rsidP="006E0165">
            <w:pPr>
              <w:spacing w:before="20" w:after="20" w:line="240" w:lineRule="exact"/>
              <w:ind w:left="57" w:right="57"/>
              <w:rPr>
                <w:rFonts w:ascii="Arial" w:hAnsi="Arial" w:cs="Arial"/>
                <w:b/>
                <w:sz w:val="16"/>
                <w:szCs w:val="16"/>
              </w:rPr>
            </w:pPr>
            <w:r w:rsidRPr="00B05053">
              <w:rPr>
                <w:rFonts w:ascii="Arial" w:hAnsi="Arial" w:cs="Arial"/>
                <w:b/>
                <w:sz w:val="16"/>
                <w:szCs w:val="16"/>
                <w:lang w:val="fr-FR"/>
              </w:rPr>
              <w:t>Quand / Périodicité</w:t>
            </w:r>
          </w:p>
        </w:tc>
        <w:tc>
          <w:tcPr>
            <w:tcW w:w="216" w:type="pct"/>
            <w:tcBorders>
              <w:top w:val="single" w:sz="4" w:space="0" w:color="000000" w:themeColor="text1"/>
              <w:left w:val="nil"/>
              <w:bottom w:val="nil"/>
              <w:right w:val="nil"/>
            </w:tcBorders>
            <w:vAlign w:val="center"/>
          </w:tcPr>
          <w:p w:rsidR="00626941" w:rsidRPr="00626941" w:rsidRDefault="00B05053" w:rsidP="006E0165">
            <w:pPr>
              <w:spacing w:before="20" w:after="20" w:line="240" w:lineRule="exact"/>
              <w:ind w:left="57" w:right="57"/>
              <w:rPr>
                <w:rFonts w:ascii="Arial" w:hAnsi="Arial" w:cs="Arial"/>
                <w:b/>
                <w:sz w:val="16"/>
                <w:szCs w:val="16"/>
              </w:rPr>
            </w:pPr>
            <w:r w:rsidRPr="00B05053">
              <w:rPr>
                <w:rFonts w:ascii="Arial" w:hAnsi="Arial" w:cs="Arial"/>
                <w:b/>
                <w:sz w:val="16"/>
                <w:szCs w:val="16"/>
                <w:lang w:val="fr-FR"/>
              </w:rPr>
              <w:t>Qui</w:t>
            </w:r>
          </w:p>
        </w:tc>
      </w:tr>
      <w:tr w:rsidR="00B05053" w:rsidRPr="00B05053" w:rsidTr="00FC4611">
        <w:trPr>
          <w:trHeight w:val="20"/>
        </w:trPr>
        <w:tc>
          <w:tcPr>
            <w:tcW w:w="230" w:type="pct"/>
            <w:vMerge w:val="restart"/>
            <w:tcBorders>
              <w:top w:val="nil"/>
            </w:tcBorders>
            <w:shd w:val="clear" w:color="auto" w:fill="D9D9D9" w:themeFill="background1" w:themeFillShade="D9"/>
            <w:textDirection w:val="btLr"/>
            <w:vAlign w:val="center"/>
          </w:tcPr>
          <w:p w:rsidR="00B05053" w:rsidRPr="001B0A0B" w:rsidRDefault="001B0A0B" w:rsidP="001B0A0B">
            <w:pPr>
              <w:pStyle w:val="07BAFUTabellelinks"/>
              <w:jc w:val="center"/>
              <w:rPr>
                <w:b/>
                <w:lang w:val="fr-CH"/>
              </w:rPr>
            </w:pPr>
            <w:r w:rsidRPr="001B0A0B">
              <w:rPr>
                <w:b/>
              </w:rPr>
              <w:t xml:space="preserve">Description des </w:t>
            </w:r>
            <w:proofErr w:type="spellStart"/>
            <w:r w:rsidRPr="001B0A0B">
              <w:rPr>
                <w:b/>
              </w:rPr>
              <w:t>déchets</w:t>
            </w:r>
            <w:proofErr w:type="spellEnd"/>
            <w:r w:rsidRPr="001B0A0B">
              <w:rPr>
                <w:b/>
              </w:rPr>
              <w:t xml:space="preserve"> et </w:t>
            </w:r>
            <w:proofErr w:type="spellStart"/>
            <w:r w:rsidRPr="001B0A0B">
              <w:rPr>
                <w:b/>
              </w:rPr>
              <w:t>collecte</w:t>
            </w:r>
            <w:proofErr w:type="spellEnd"/>
          </w:p>
        </w:tc>
        <w:tc>
          <w:tcPr>
            <w:tcW w:w="1436" w:type="pct"/>
            <w:tcBorders>
              <w:top w:val="nil"/>
            </w:tcBorders>
            <w:shd w:val="clear" w:color="auto" w:fill="F2F2F2" w:themeFill="background1" w:themeFillShade="F2"/>
          </w:tcPr>
          <w:p w:rsidR="00B05053" w:rsidRPr="001B0A0B" w:rsidRDefault="00B05053" w:rsidP="00E117B4">
            <w:pPr>
              <w:pStyle w:val="07BAFUTabellelinks"/>
            </w:pPr>
            <w:proofErr w:type="spellStart"/>
            <w:r w:rsidRPr="001B0A0B">
              <w:t>Principes</w:t>
            </w:r>
            <w:proofErr w:type="spellEnd"/>
            <w:r w:rsidRPr="001B0A0B">
              <w:t xml:space="preserve"> de tri des déchets solides</w:t>
            </w:r>
          </w:p>
        </w:tc>
        <w:tc>
          <w:tcPr>
            <w:tcW w:w="2169" w:type="pct"/>
            <w:tcBorders>
              <w:top w:val="nil"/>
            </w:tcBorders>
            <w:shd w:val="clear" w:color="auto" w:fill="F2F2F2" w:themeFill="background1" w:themeFillShade="F2"/>
          </w:tcPr>
          <w:p w:rsidR="00B05053" w:rsidRPr="00FD7BF0" w:rsidRDefault="00B05053" w:rsidP="00E117B4">
            <w:pPr>
              <w:pStyle w:val="07BAFUTabellelinks"/>
            </w:pPr>
            <w:r>
              <w:t>Les déchets</w:t>
            </w:r>
            <w:r w:rsidRPr="00FD7BF0">
              <w:t xml:space="preserve"> </w:t>
            </w:r>
            <w:r>
              <w:t>en verre doivent être collectés séparément de ceux en plastique et de ceux présentant un danger de blessure</w:t>
            </w:r>
            <w:r w:rsidRPr="00FD7BF0">
              <w:t>.</w:t>
            </w:r>
          </w:p>
        </w:tc>
        <w:tc>
          <w:tcPr>
            <w:tcW w:w="948" w:type="pct"/>
            <w:tcBorders>
              <w:top w:val="nil"/>
            </w:tcBorders>
            <w:shd w:val="clear" w:color="auto" w:fill="F2F2F2" w:themeFill="background1" w:themeFillShade="F2"/>
          </w:tcPr>
          <w:p w:rsidR="00B05053" w:rsidRPr="00FD7BF0" w:rsidRDefault="00B05053" w:rsidP="00E117B4">
            <w:pPr>
              <w:pStyle w:val="07BAFUTabellelinks"/>
            </w:pPr>
          </w:p>
        </w:tc>
        <w:tc>
          <w:tcPr>
            <w:tcW w:w="216" w:type="pct"/>
            <w:tcBorders>
              <w:top w:val="nil"/>
            </w:tcBorders>
            <w:shd w:val="clear" w:color="auto" w:fill="F2F2F2" w:themeFill="background1" w:themeFillShade="F2"/>
          </w:tcPr>
          <w:p w:rsidR="00B05053" w:rsidRPr="00B05053" w:rsidRDefault="00B05053" w:rsidP="00B05053">
            <w:pPr>
              <w:pStyle w:val="Tabelle"/>
              <w:spacing w:line="240" w:lineRule="exact"/>
              <w:rPr>
                <w:rFonts w:cs="Arial"/>
                <w:sz w:val="16"/>
                <w:szCs w:val="16"/>
                <w:lang w:val="fr-CH"/>
              </w:rPr>
            </w:pPr>
          </w:p>
        </w:tc>
      </w:tr>
      <w:tr w:rsidR="00E117B4" w:rsidRPr="00E117B4" w:rsidTr="00FC4611">
        <w:trPr>
          <w:trHeight w:val="863"/>
        </w:trPr>
        <w:tc>
          <w:tcPr>
            <w:tcW w:w="230" w:type="pct"/>
            <w:vMerge/>
            <w:shd w:val="clear" w:color="auto" w:fill="D9D9D9" w:themeFill="background1" w:themeFillShade="D9"/>
            <w:textDirection w:val="btLr"/>
            <w:vAlign w:val="center"/>
          </w:tcPr>
          <w:p w:rsidR="00E117B4" w:rsidRPr="00B05053" w:rsidRDefault="00E117B4" w:rsidP="00E117B4">
            <w:pPr>
              <w:pStyle w:val="Tabelle"/>
              <w:spacing w:before="0" w:after="0" w:line="200" w:lineRule="exact"/>
              <w:ind w:left="0" w:right="0"/>
              <w:jc w:val="center"/>
              <w:rPr>
                <w:rFonts w:cs="Arial"/>
                <w:b/>
                <w:sz w:val="16"/>
                <w:szCs w:val="16"/>
                <w:lang w:val="fr-CH"/>
              </w:rPr>
            </w:pPr>
          </w:p>
        </w:tc>
        <w:tc>
          <w:tcPr>
            <w:tcW w:w="1436" w:type="pct"/>
            <w:shd w:val="clear" w:color="auto" w:fill="F2F2F2" w:themeFill="background1" w:themeFillShade="F2"/>
          </w:tcPr>
          <w:p w:rsidR="00E117B4" w:rsidRPr="00FD7BF0" w:rsidRDefault="00E117B4" w:rsidP="00E117B4">
            <w:pPr>
              <w:pStyle w:val="07BAFUTabellelinks"/>
            </w:pPr>
            <w:r>
              <w:t>Matériel usagé contaminé présentant un danger de blessure (</w:t>
            </w:r>
            <w:proofErr w:type="spellStart"/>
            <w:r w:rsidRPr="00FD7BF0">
              <w:rPr>
                <w:i/>
              </w:rPr>
              <w:t>sharps</w:t>
            </w:r>
            <w:proofErr w:type="spellEnd"/>
            <w:r w:rsidRPr="00FD7BF0">
              <w:t>)</w:t>
            </w:r>
            <w:r>
              <w:t> :</w:t>
            </w:r>
            <w:r w:rsidRPr="00FD7BF0">
              <w:t xml:space="preserve"> </w:t>
            </w:r>
            <w:r>
              <w:t>p. ex. seringues, scalpels et aiguilles hypodermiques</w:t>
            </w:r>
            <w:r w:rsidRPr="00FD7BF0">
              <w:t xml:space="preserve"> </w:t>
            </w:r>
          </w:p>
        </w:tc>
        <w:tc>
          <w:tcPr>
            <w:tcW w:w="2169" w:type="pct"/>
            <w:shd w:val="clear" w:color="auto" w:fill="F2F2F2" w:themeFill="background1" w:themeFillShade="F2"/>
          </w:tcPr>
          <w:p w:rsidR="00E117B4" w:rsidRPr="00FD7BF0" w:rsidRDefault="00E117B4" w:rsidP="00E117B4">
            <w:pPr>
              <w:pStyle w:val="07BAFUTabellelinks"/>
            </w:pPr>
            <w:r>
              <w:t xml:space="preserve">Collecté dans des récipients en plastique imperméables, résistants au percement, opaques et pouvant être fermés de manière à ce qu’ils ne puissent plus être rouverts </w:t>
            </w:r>
          </w:p>
        </w:tc>
        <w:tc>
          <w:tcPr>
            <w:tcW w:w="948" w:type="pct"/>
            <w:shd w:val="clear" w:color="auto" w:fill="F2F2F2" w:themeFill="background1" w:themeFillShade="F2"/>
          </w:tcPr>
          <w:p w:rsidR="00E117B4" w:rsidRPr="00FD7BF0" w:rsidRDefault="00E117B4" w:rsidP="00E117B4">
            <w:pPr>
              <w:pStyle w:val="07BAFUTabellelinks"/>
            </w:pPr>
            <w:r>
              <w:t xml:space="preserve">Selon les nécessités, mais au plus tard tant que le récipient de collecte peut être fermé sans danger </w:t>
            </w:r>
          </w:p>
        </w:tc>
        <w:tc>
          <w:tcPr>
            <w:tcW w:w="216" w:type="pct"/>
            <w:shd w:val="clear" w:color="auto" w:fill="F2F2F2" w:themeFill="background1" w:themeFillShade="F2"/>
          </w:tcPr>
          <w:p w:rsidR="00E117B4" w:rsidRPr="00E117B4" w:rsidRDefault="00E117B4" w:rsidP="00E117B4">
            <w:pPr>
              <w:pStyle w:val="Tabelle"/>
              <w:spacing w:line="240" w:lineRule="exact"/>
              <w:rPr>
                <w:rFonts w:cs="Arial"/>
                <w:sz w:val="16"/>
                <w:szCs w:val="16"/>
                <w:lang w:val="fr-CH"/>
              </w:rPr>
            </w:pPr>
          </w:p>
        </w:tc>
      </w:tr>
      <w:tr w:rsidR="00E117B4" w:rsidRPr="00E117B4" w:rsidTr="00FC4611">
        <w:trPr>
          <w:trHeight w:val="564"/>
        </w:trPr>
        <w:tc>
          <w:tcPr>
            <w:tcW w:w="230" w:type="pct"/>
            <w:vMerge/>
            <w:shd w:val="clear" w:color="auto" w:fill="D9D9D9" w:themeFill="background1" w:themeFillShade="D9"/>
            <w:textDirection w:val="btLr"/>
            <w:vAlign w:val="center"/>
          </w:tcPr>
          <w:p w:rsidR="00E117B4" w:rsidRPr="00E117B4" w:rsidRDefault="00E117B4" w:rsidP="00E117B4">
            <w:pPr>
              <w:pStyle w:val="Tabelle"/>
              <w:spacing w:before="0" w:after="0" w:line="200" w:lineRule="exact"/>
              <w:ind w:left="0" w:right="0"/>
              <w:jc w:val="center"/>
              <w:rPr>
                <w:rFonts w:cs="Arial"/>
                <w:b/>
                <w:sz w:val="16"/>
                <w:szCs w:val="16"/>
                <w:lang w:val="fr-CH"/>
              </w:rPr>
            </w:pPr>
          </w:p>
        </w:tc>
        <w:tc>
          <w:tcPr>
            <w:tcW w:w="1436" w:type="pct"/>
            <w:shd w:val="clear" w:color="auto" w:fill="F2F2F2" w:themeFill="background1" w:themeFillShade="F2"/>
          </w:tcPr>
          <w:p w:rsidR="00E117B4" w:rsidRPr="00FD7BF0" w:rsidRDefault="00E117B4" w:rsidP="00E117B4">
            <w:pPr>
              <w:pStyle w:val="07BAFUTabellelinks"/>
              <w:rPr>
                <w:szCs w:val="22"/>
              </w:rPr>
            </w:pPr>
            <w:r>
              <w:rPr>
                <w:szCs w:val="22"/>
              </w:rPr>
              <w:t>Cultures de microorganismes</w:t>
            </w:r>
            <w:r w:rsidRPr="00FD7BF0">
              <w:rPr>
                <w:szCs w:val="22"/>
              </w:rPr>
              <w:t xml:space="preserve"> (</w:t>
            </w:r>
            <w:r>
              <w:rPr>
                <w:szCs w:val="22"/>
              </w:rPr>
              <w:t>p. ex. plaques de gélose</w:t>
            </w:r>
            <w:r w:rsidRPr="00FD7BF0">
              <w:rPr>
                <w:szCs w:val="22"/>
              </w:rPr>
              <w:t xml:space="preserve">, </w:t>
            </w:r>
            <w:r>
              <w:rPr>
                <w:szCs w:val="22"/>
              </w:rPr>
              <w:t>flacons de culture de cellules en plastique sans milieu de culture</w:t>
            </w:r>
            <w:r w:rsidRPr="00FD7BF0">
              <w:rPr>
                <w:szCs w:val="22"/>
              </w:rPr>
              <w:t>)</w:t>
            </w:r>
          </w:p>
        </w:tc>
        <w:tc>
          <w:tcPr>
            <w:tcW w:w="2169" w:type="pct"/>
            <w:vMerge w:val="restart"/>
            <w:shd w:val="clear" w:color="auto" w:fill="F2F2F2" w:themeFill="background1" w:themeFillShade="F2"/>
          </w:tcPr>
          <w:p w:rsidR="00E117B4" w:rsidRPr="00E117B4" w:rsidRDefault="00E117B4" w:rsidP="00E117B4">
            <w:pPr>
              <w:pStyle w:val="07BAFUTabellelinks"/>
              <w:rPr>
                <w:lang w:val="fr-CH"/>
              </w:rPr>
            </w:pPr>
            <w:r w:rsidRPr="00E117B4">
              <w:rPr>
                <w:lang w:val="fr-CH"/>
              </w:rPr>
              <w:t xml:space="preserve">Collectées ensemble ou séparément, dans des sacs pouvant être </w:t>
            </w:r>
            <w:proofErr w:type="spellStart"/>
            <w:r w:rsidRPr="00E117B4">
              <w:rPr>
                <w:lang w:val="fr-CH"/>
              </w:rPr>
              <w:t>autoclavés</w:t>
            </w:r>
            <w:proofErr w:type="spellEnd"/>
            <w:r w:rsidRPr="00E117B4">
              <w:rPr>
                <w:lang w:val="fr-CH"/>
              </w:rPr>
              <w:t>, dans des récipients solides, qui ne coulent pas, munis d’un couvercle</w:t>
            </w:r>
          </w:p>
        </w:tc>
        <w:tc>
          <w:tcPr>
            <w:tcW w:w="948" w:type="pct"/>
            <w:vMerge w:val="restart"/>
            <w:shd w:val="clear" w:color="auto" w:fill="F2F2F2" w:themeFill="background1" w:themeFillShade="F2"/>
          </w:tcPr>
          <w:p w:rsidR="00E117B4" w:rsidRPr="00E117B4" w:rsidRDefault="00E117B4" w:rsidP="00E117B4">
            <w:pPr>
              <w:pStyle w:val="07BAFUTabellelinks"/>
              <w:rPr>
                <w:lang w:val="fr-CH"/>
              </w:rPr>
            </w:pPr>
            <w:r w:rsidRPr="00E117B4">
              <w:rPr>
                <w:lang w:val="fr-FR"/>
              </w:rPr>
              <w:t>Selon les nécessités ou lorsque les sacs sont tout au plus remplis aux 2/3 ; ne pas comprimer.</w:t>
            </w:r>
          </w:p>
        </w:tc>
        <w:tc>
          <w:tcPr>
            <w:tcW w:w="216" w:type="pct"/>
            <w:shd w:val="clear" w:color="auto" w:fill="F2F2F2" w:themeFill="background1" w:themeFillShade="F2"/>
          </w:tcPr>
          <w:p w:rsidR="00E117B4" w:rsidRPr="00E117B4" w:rsidRDefault="00E117B4" w:rsidP="00E117B4">
            <w:pPr>
              <w:pStyle w:val="Tabelle"/>
              <w:spacing w:line="240" w:lineRule="exact"/>
              <w:rPr>
                <w:rFonts w:cs="Arial"/>
                <w:sz w:val="16"/>
                <w:szCs w:val="16"/>
                <w:lang w:val="fr-CH"/>
              </w:rPr>
            </w:pPr>
          </w:p>
        </w:tc>
      </w:tr>
      <w:tr w:rsidR="00E117B4" w:rsidRPr="00E117B4" w:rsidTr="00FC4611">
        <w:trPr>
          <w:trHeight w:val="564"/>
        </w:trPr>
        <w:tc>
          <w:tcPr>
            <w:tcW w:w="230" w:type="pct"/>
            <w:vMerge/>
            <w:shd w:val="clear" w:color="auto" w:fill="D9D9D9" w:themeFill="background1" w:themeFillShade="D9"/>
            <w:textDirection w:val="btLr"/>
            <w:vAlign w:val="center"/>
          </w:tcPr>
          <w:p w:rsidR="00E117B4" w:rsidRPr="00E117B4" w:rsidRDefault="00E117B4" w:rsidP="00E117B4">
            <w:pPr>
              <w:pStyle w:val="Tabelle"/>
              <w:spacing w:before="0" w:after="0" w:line="200" w:lineRule="exact"/>
              <w:ind w:left="0" w:right="0"/>
              <w:jc w:val="center"/>
              <w:rPr>
                <w:rFonts w:cs="Arial"/>
                <w:b/>
                <w:sz w:val="16"/>
                <w:szCs w:val="16"/>
                <w:lang w:val="fr-CH"/>
              </w:rPr>
            </w:pPr>
          </w:p>
        </w:tc>
        <w:tc>
          <w:tcPr>
            <w:tcW w:w="1436" w:type="pct"/>
            <w:shd w:val="clear" w:color="auto" w:fill="F2F2F2" w:themeFill="background1" w:themeFillShade="F2"/>
          </w:tcPr>
          <w:p w:rsidR="00E117B4" w:rsidRPr="00FD7BF0" w:rsidRDefault="00E117B4" w:rsidP="00E117B4">
            <w:pPr>
              <w:pStyle w:val="07BAFUTabellelinks"/>
              <w:rPr>
                <w:szCs w:val="22"/>
              </w:rPr>
            </w:pPr>
            <w:proofErr w:type="spellStart"/>
            <w:r>
              <w:t>Matériel</w:t>
            </w:r>
            <w:proofErr w:type="spellEnd"/>
            <w:r>
              <w:t xml:space="preserve"> </w:t>
            </w:r>
            <w:proofErr w:type="spellStart"/>
            <w:r>
              <w:t>usagé</w:t>
            </w:r>
            <w:proofErr w:type="spellEnd"/>
            <w:r>
              <w:t xml:space="preserve"> </w:t>
            </w:r>
            <w:proofErr w:type="spellStart"/>
            <w:r>
              <w:t>contaminé</w:t>
            </w:r>
            <w:proofErr w:type="spellEnd"/>
            <w:r>
              <w:t xml:space="preserve"> ne présentant pas de danger de blessure </w:t>
            </w:r>
            <w:r w:rsidRPr="00FD7BF0">
              <w:rPr>
                <w:szCs w:val="22"/>
              </w:rPr>
              <w:t>(</w:t>
            </w:r>
            <w:r>
              <w:rPr>
                <w:szCs w:val="22"/>
              </w:rPr>
              <w:t xml:space="preserve">pointes de pipette, tubes </w:t>
            </w:r>
            <w:proofErr w:type="spellStart"/>
            <w:r w:rsidRPr="00FD7BF0">
              <w:rPr>
                <w:szCs w:val="22"/>
              </w:rPr>
              <w:t>Eppendorf</w:t>
            </w:r>
            <w:proofErr w:type="spellEnd"/>
            <w:r w:rsidRPr="00FD7BF0">
              <w:rPr>
                <w:szCs w:val="22"/>
              </w:rPr>
              <w:t>,</w:t>
            </w:r>
            <w:r>
              <w:rPr>
                <w:szCs w:val="22"/>
              </w:rPr>
              <w:t xml:space="preserve"> récipients en plastique, gants à usage unique</w:t>
            </w:r>
            <w:r w:rsidRPr="00FD7BF0">
              <w:rPr>
                <w:szCs w:val="22"/>
              </w:rPr>
              <w:t>)</w:t>
            </w:r>
          </w:p>
        </w:tc>
        <w:tc>
          <w:tcPr>
            <w:tcW w:w="2169" w:type="pct"/>
            <w:vMerge/>
            <w:shd w:val="clear" w:color="auto" w:fill="F2F2F2" w:themeFill="background1" w:themeFillShade="F2"/>
          </w:tcPr>
          <w:p w:rsidR="00E117B4" w:rsidRPr="00E117B4" w:rsidRDefault="00E117B4" w:rsidP="00E117B4">
            <w:pPr>
              <w:pStyle w:val="Tabelle"/>
              <w:spacing w:line="240" w:lineRule="exact"/>
              <w:rPr>
                <w:rFonts w:cs="Arial"/>
                <w:sz w:val="16"/>
                <w:szCs w:val="16"/>
                <w:lang w:val="fr-CH"/>
              </w:rPr>
            </w:pPr>
          </w:p>
        </w:tc>
        <w:tc>
          <w:tcPr>
            <w:tcW w:w="948" w:type="pct"/>
            <w:vMerge/>
            <w:shd w:val="clear" w:color="auto" w:fill="F2F2F2" w:themeFill="background1" w:themeFillShade="F2"/>
          </w:tcPr>
          <w:p w:rsidR="00E117B4" w:rsidRPr="00E117B4" w:rsidRDefault="00E117B4" w:rsidP="00E117B4">
            <w:pPr>
              <w:pStyle w:val="Tabelle"/>
              <w:spacing w:line="240" w:lineRule="exact"/>
              <w:rPr>
                <w:rFonts w:cs="Arial"/>
                <w:sz w:val="16"/>
                <w:szCs w:val="16"/>
                <w:lang w:val="fr-CH"/>
              </w:rPr>
            </w:pPr>
          </w:p>
        </w:tc>
        <w:tc>
          <w:tcPr>
            <w:tcW w:w="216" w:type="pct"/>
            <w:shd w:val="clear" w:color="auto" w:fill="F2F2F2" w:themeFill="background1" w:themeFillShade="F2"/>
          </w:tcPr>
          <w:p w:rsidR="00E117B4" w:rsidRPr="00E117B4" w:rsidRDefault="00E117B4" w:rsidP="00E117B4">
            <w:pPr>
              <w:pStyle w:val="Tabelle"/>
              <w:spacing w:line="240" w:lineRule="exact"/>
              <w:rPr>
                <w:rFonts w:cs="Arial"/>
                <w:sz w:val="16"/>
                <w:szCs w:val="16"/>
                <w:lang w:val="fr-CH"/>
              </w:rPr>
            </w:pPr>
          </w:p>
        </w:tc>
      </w:tr>
      <w:tr w:rsidR="00E117B4" w:rsidRPr="00E117B4" w:rsidTr="00FC4611">
        <w:trPr>
          <w:trHeight w:val="564"/>
        </w:trPr>
        <w:tc>
          <w:tcPr>
            <w:tcW w:w="230" w:type="pct"/>
            <w:vMerge/>
            <w:shd w:val="clear" w:color="auto" w:fill="D9D9D9" w:themeFill="background1" w:themeFillShade="D9"/>
            <w:textDirection w:val="btLr"/>
            <w:vAlign w:val="center"/>
          </w:tcPr>
          <w:p w:rsidR="00E117B4" w:rsidRPr="00E117B4" w:rsidRDefault="00E117B4" w:rsidP="00E117B4">
            <w:pPr>
              <w:pStyle w:val="Tabelle"/>
              <w:spacing w:before="0" w:after="0" w:line="200" w:lineRule="exact"/>
              <w:ind w:left="0" w:right="0"/>
              <w:jc w:val="center"/>
              <w:rPr>
                <w:rFonts w:cs="Arial"/>
                <w:b/>
                <w:sz w:val="16"/>
                <w:szCs w:val="16"/>
                <w:lang w:val="fr-CH"/>
              </w:rPr>
            </w:pPr>
          </w:p>
        </w:tc>
        <w:tc>
          <w:tcPr>
            <w:tcW w:w="1436" w:type="pct"/>
            <w:shd w:val="clear" w:color="auto" w:fill="F2F2F2" w:themeFill="background1" w:themeFillShade="F2"/>
          </w:tcPr>
          <w:p w:rsidR="00E117B4" w:rsidRPr="00FD7BF0" w:rsidRDefault="00E117B4" w:rsidP="00E117B4">
            <w:pPr>
              <w:pStyle w:val="07BAFUTabellelinks"/>
              <w:rPr>
                <w:szCs w:val="22"/>
              </w:rPr>
            </w:pPr>
            <w:proofErr w:type="spellStart"/>
            <w:r>
              <w:rPr>
                <w:szCs w:val="22"/>
              </w:rPr>
              <w:t>Échantillons</w:t>
            </w:r>
            <w:proofErr w:type="spellEnd"/>
            <w:r>
              <w:rPr>
                <w:szCs w:val="22"/>
              </w:rPr>
              <w:t xml:space="preserve"> </w:t>
            </w:r>
            <w:proofErr w:type="spellStart"/>
            <w:r>
              <w:rPr>
                <w:szCs w:val="22"/>
              </w:rPr>
              <w:t>diagnostiques</w:t>
            </w:r>
            <w:proofErr w:type="spellEnd"/>
            <w:r>
              <w:rPr>
                <w:szCs w:val="22"/>
              </w:rPr>
              <w:t xml:space="preserve"> </w:t>
            </w:r>
            <w:r w:rsidRPr="00FD7BF0">
              <w:rPr>
                <w:szCs w:val="22"/>
              </w:rPr>
              <w:t>(</w:t>
            </w:r>
            <w:r>
              <w:rPr>
                <w:szCs w:val="22"/>
              </w:rPr>
              <w:t xml:space="preserve">sang, </w:t>
            </w:r>
            <w:proofErr w:type="spellStart"/>
            <w:r>
              <w:rPr>
                <w:szCs w:val="22"/>
              </w:rPr>
              <w:t>sécrétions</w:t>
            </w:r>
            <w:proofErr w:type="spellEnd"/>
            <w:r>
              <w:rPr>
                <w:szCs w:val="22"/>
              </w:rPr>
              <w:t>, excrétions</w:t>
            </w:r>
            <w:r w:rsidRPr="00FD7BF0">
              <w:rPr>
                <w:szCs w:val="22"/>
              </w:rPr>
              <w:t xml:space="preserve">, </w:t>
            </w:r>
            <w:r>
              <w:rPr>
                <w:szCs w:val="22"/>
              </w:rPr>
              <w:t>échantillons de tissus, et</w:t>
            </w:r>
            <w:r w:rsidRPr="00FD7BF0">
              <w:rPr>
                <w:szCs w:val="22"/>
              </w:rPr>
              <w:t>c.</w:t>
            </w:r>
            <w:r>
              <w:rPr>
                <w:szCs w:val="22"/>
              </w:rPr>
              <w:t>,</w:t>
            </w:r>
            <w:r w:rsidRPr="00FD7BF0">
              <w:rPr>
                <w:szCs w:val="22"/>
              </w:rPr>
              <w:t xml:space="preserve"> </w:t>
            </w:r>
            <w:r>
              <w:rPr>
                <w:szCs w:val="22"/>
              </w:rPr>
              <w:t>dans des tubes en plastique</w:t>
            </w:r>
            <w:r w:rsidRPr="00FD7BF0">
              <w:rPr>
                <w:szCs w:val="22"/>
              </w:rPr>
              <w:t>)</w:t>
            </w:r>
          </w:p>
        </w:tc>
        <w:tc>
          <w:tcPr>
            <w:tcW w:w="2169" w:type="pct"/>
            <w:vMerge/>
            <w:shd w:val="clear" w:color="auto" w:fill="F2F2F2" w:themeFill="background1" w:themeFillShade="F2"/>
          </w:tcPr>
          <w:p w:rsidR="00E117B4" w:rsidRPr="00E117B4" w:rsidRDefault="00E117B4" w:rsidP="00E117B4">
            <w:pPr>
              <w:pStyle w:val="Tabelle"/>
              <w:spacing w:line="240" w:lineRule="exact"/>
              <w:rPr>
                <w:rFonts w:cs="Arial"/>
                <w:sz w:val="16"/>
                <w:szCs w:val="16"/>
                <w:lang w:val="fr-CH"/>
              </w:rPr>
            </w:pPr>
          </w:p>
        </w:tc>
        <w:tc>
          <w:tcPr>
            <w:tcW w:w="948" w:type="pct"/>
            <w:vMerge/>
            <w:shd w:val="clear" w:color="auto" w:fill="F2F2F2" w:themeFill="background1" w:themeFillShade="F2"/>
          </w:tcPr>
          <w:p w:rsidR="00E117B4" w:rsidRPr="00E117B4" w:rsidRDefault="00E117B4" w:rsidP="00E117B4">
            <w:pPr>
              <w:pStyle w:val="Tabelle"/>
              <w:spacing w:line="240" w:lineRule="exact"/>
              <w:rPr>
                <w:rFonts w:cs="Arial"/>
                <w:sz w:val="16"/>
                <w:szCs w:val="16"/>
                <w:lang w:val="fr-CH"/>
              </w:rPr>
            </w:pPr>
          </w:p>
        </w:tc>
        <w:tc>
          <w:tcPr>
            <w:tcW w:w="216" w:type="pct"/>
            <w:shd w:val="clear" w:color="auto" w:fill="F2F2F2" w:themeFill="background1" w:themeFillShade="F2"/>
          </w:tcPr>
          <w:p w:rsidR="00E117B4" w:rsidRPr="00E117B4" w:rsidRDefault="00E117B4" w:rsidP="00E117B4">
            <w:pPr>
              <w:pStyle w:val="Tabelle"/>
              <w:spacing w:line="240" w:lineRule="exact"/>
              <w:rPr>
                <w:rFonts w:cs="Arial"/>
                <w:sz w:val="16"/>
                <w:szCs w:val="16"/>
                <w:lang w:val="fr-CH"/>
              </w:rPr>
            </w:pPr>
          </w:p>
        </w:tc>
      </w:tr>
      <w:tr w:rsidR="00E117B4" w:rsidRPr="00E117B4" w:rsidTr="001C0228">
        <w:trPr>
          <w:trHeight w:val="1048"/>
        </w:trPr>
        <w:tc>
          <w:tcPr>
            <w:tcW w:w="230" w:type="pct"/>
            <w:textDirection w:val="btLr"/>
            <w:vAlign w:val="center"/>
          </w:tcPr>
          <w:p w:rsidR="00E117B4" w:rsidRPr="00626941" w:rsidRDefault="00E117B4" w:rsidP="00E117B4">
            <w:pPr>
              <w:pStyle w:val="Tabelle"/>
              <w:spacing w:before="0" w:after="0" w:line="200" w:lineRule="exact"/>
              <w:ind w:left="0" w:right="0"/>
              <w:jc w:val="center"/>
              <w:rPr>
                <w:rFonts w:cs="Arial"/>
                <w:b/>
                <w:sz w:val="16"/>
                <w:szCs w:val="16"/>
                <w:lang w:val="de-CH"/>
              </w:rPr>
            </w:pPr>
            <w:r w:rsidRPr="00626941">
              <w:rPr>
                <w:rFonts w:cs="Arial"/>
                <w:b/>
                <w:sz w:val="16"/>
                <w:szCs w:val="16"/>
                <w:lang w:val="de-CH"/>
              </w:rPr>
              <w:t>K</w:t>
            </w:r>
            <w:r w:rsidR="00A73C62" w:rsidRPr="00A73C62">
              <w:rPr>
                <w:rFonts w:ascii="Helvetica" w:eastAsia="Times" w:hAnsi="Helvetica"/>
                <w:b/>
                <w:lang w:val="fr-FR"/>
              </w:rPr>
              <w:t xml:space="preserve"> </w:t>
            </w:r>
            <w:r w:rsidR="00A73C62" w:rsidRPr="00A73C62">
              <w:rPr>
                <w:rFonts w:cs="Arial"/>
                <w:b/>
                <w:sz w:val="16"/>
                <w:szCs w:val="16"/>
                <w:lang w:val="fr-FR"/>
              </w:rPr>
              <w:t>Marquage</w:t>
            </w:r>
          </w:p>
        </w:tc>
        <w:tc>
          <w:tcPr>
            <w:tcW w:w="1436" w:type="pct"/>
          </w:tcPr>
          <w:p w:rsidR="00E117B4" w:rsidRPr="00626941" w:rsidRDefault="00E117B4" w:rsidP="00E117B4">
            <w:pPr>
              <w:pStyle w:val="Tabelle"/>
              <w:spacing w:line="240" w:lineRule="exact"/>
              <w:rPr>
                <w:rFonts w:cs="Arial"/>
                <w:sz w:val="16"/>
                <w:szCs w:val="16"/>
                <w:lang w:val="de-CH"/>
              </w:rPr>
            </w:pPr>
          </w:p>
        </w:tc>
        <w:tc>
          <w:tcPr>
            <w:tcW w:w="2169" w:type="pct"/>
          </w:tcPr>
          <w:p w:rsidR="00E117B4" w:rsidRDefault="00E117B4" w:rsidP="00E117B4">
            <w:pPr>
              <w:pStyle w:val="07BAFUTabellelinks"/>
            </w:pPr>
            <w:r>
              <w:t>Marquage de tous les récipients ou les sacs contenant des déchets avec le pictogramme d’avertissement « risques biologiques ».</w:t>
            </w:r>
          </w:p>
          <w:p w:rsidR="00E117B4" w:rsidRPr="00FD7BF0" w:rsidRDefault="00E117B4" w:rsidP="00E117B4">
            <w:pPr>
              <w:pStyle w:val="07BAFUTabellelinks"/>
            </w:pPr>
            <w:r>
              <w:t>Les déchets présentant un danger de blessure sont marqués comme tels (p. ex. « attention aiguilles »).</w:t>
            </w:r>
          </w:p>
          <w:p w:rsidR="00E117B4" w:rsidRPr="00FD7BF0" w:rsidRDefault="00E117B4" w:rsidP="00E117B4">
            <w:pPr>
              <w:pStyle w:val="07BAFUTabellelinks"/>
            </w:pPr>
            <w:r>
              <w:t>Avant l’autoclavage, munir les récipients et les sacs contenant des déchets d’un indicateur thermosensible</w:t>
            </w:r>
            <w:r w:rsidRPr="00FD7BF0">
              <w:t>.</w:t>
            </w:r>
            <w:r w:rsidRPr="00FD7BF0">
              <w:rPr>
                <w:rFonts w:eastAsia="Times"/>
                <w:i/>
                <w:smallCaps/>
                <w:color w:val="008080"/>
              </w:rPr>
              <w:t xml:space="preserve"> </w:t>
            </w:r>
          </w:p>
        </w:tc>
        <w:tc>
          <w:tcPr>
            <w:tcW w:w="948" w:type="pct"/>
          </w:tcPr>
          <w:p w:rsidR="00E117B4" w:rsidRPr="00E117B4" w:rsidRDefault="00E117B4" w:rsidP="00E117B4">
            <w:pPr>
              <w:pStyle w:val="Tabelle"/>
              <w:spacing w:line="240" w:lineRule="exact"/>
              <w:rPr>
                <w:rFonts w:cs="Arial"/>
                <w:sz w:val="16"/>
                <w:szCs w:val="16"/>
                <w:lang w:val="fr-CH"/>
              </w:rPr>
            </w:pPr>
          </w:p>
        </w:tc>
        <w:tc>
          <w:tcPr>
            <w:tcW w:w="216" w:type="pct"/>
          </w:tcPr>
          <w:p w:rsidR="00E117B4" w:rsidRPr="00E117B4" w:rsidRDefault="00E117B4" w:rsidP="00E117B4">
            <w:pPr>
              <w:pStyle w:val="Tabelle"/>
              <w:spacing w:line="240" w:lineRule="exact"/>
              <w:rPr>
                <w:rFonts w:cs="Arial"/>
                <w:sz w:val="16"/>
                <w:szCs w:val="16"/>
                <w:lang w:val="fr-CH"/>
              </w:rPr>
            </w:pPr>
          </w:p>
        </w:tc>
      </w:tr>
      <w:tr w:rsidR="00A73C62" w:rsidRPr="00626941" w:rsidTr="00A73C62">
        <w:trPr>
          <w:trHeight w:val="1105"/>
        </w:trPr>
        <w:tc>
          <w:tcPr>
            <w:tcW w:w="230" w:type="pct"/>
            <w:shd w:val="clear" w:color="auto" w:fill="D9D9D9" w:themeFill="background1" w:themeFillShade="D9"/>
            <w:textDirection w:val="btLr"/>
            <w:vAlign w:val="center"/>
          </w:tcPr>
          <w:p w:rsidR="00A73C62" w:rsidRPr="00626941" w:rsidRDefault="00A73C62" w:rsidP="00A73C62">
            <w:pPr>
              <w:pStyle w:val="Tabelle"/>
              <w:spacing w:before="0" w:after="0" w:line="200" w:lineRule="exact"/>
              <w:ind w:left="0" w:right="0"/>
              <w:jc w:val="center"/>
              <w:rPr>
                <w:rFonts w:cs="Arial"/>
                <w:b/>
                <w:sz w:val="16"/>
                <w:szCs w:val="16"/>
                <w:lang w:val="de-CH"/>
              </w:rPr>
            </w:pPr>
            <w:r w:rsidRPr="00A73C62">
              <w:rPr>
                <w:rFonts w:cs="Arial"/>
                <w:b/>
                <w:sz w:val="16"/>
                <w:szCs w:val="16"/>
                <w:lang w:val="fr-FR"/>
              </w:rPr>
              <w:t>Entreposage</w:t>
            </w:r>
          </w:p>
        </w:tc>
        <w:tc>
          <w:tcPr>
            <w:tcW w:w="1436" w:type="pct"/>
            <w:shd w:val="clear" w:color="auto" w:fill="F2F2F2" w:themeFill="background1" w:themeFillShade="F2"/>
          </w:tcPr>
          <w:p w:rsidR="00A73C62" w:rsidRPr="00626941" w:rsidRDefault="00A73C62" w:rsidP="00A73C62">
            <w:pPr>
              <w:pStyle w:val="Tabelle"/>
              <w:spacing w:line="240" w:lineRule="exact"/>
              <w:rPr>
                <w:rFonts w:cs="Arial"/>
                <w:sz w:val="16"/>
                <w:szCs w:val="16"/>
                <w:lang w:val="de-CH"/>
              </w:rPr>
            </w:pPr>
            <w:r w:rsidRPr="001B0A0B">
              <w:rPr>
                <w:rFonts w:cs="Arial"/>
                <w:sz w:val="16"/>
                <w:szCs w:val="16"/>
                <w:lang w:val="fr-FR"/>
              </w:rPr>
              <w:t>Stockage intermédiaire au laboratoire</w:t>
            </w:r>
          </w:p>
        </w:tc>
        <w:tc>
          <w:tcPr>
            <w:tcW w:w="2169" w:type="pct"/>
            <w:shd w:val="clear" w:color="auto" w:fill="F2F2F2" w:themeFill="background1" w:themeFillShade="F2"/>
          </w:tcPr>
          <w:p w:rsidR="00A73C62" w:rsidRPr="00FD7BF0" w:rsidRDefault="00A73C62" w:rsidP="00A73C62">
            <w:pPr>
              <w:pStyle w:val="07BAFUTabellelinks"/>
            </w:pPr>
            <w:r>
              <w:t xml:space="preserve">Les récipients ouverts et les petits sacs </w:t>
            </w:r>
            <w:r w:rsidRPr="00FD7BF0">
              <w:t>(</w:t>
            </w:r>
            <w:r>
              <w:t xml:space="preserve">jusqu’à </w:t>
            </w:r>
            <w:r w:rsidRPr="00FD7BF0">
              <w:t xml:space="preserve">max. </w:t>
            </w:r>
            <w:smartTag w:uri="urn:schemas-microsoft-com:office:smarttags" w:element="metricconverter">
              <w:smartTagPr>
                <w:attr w:name="ProductID" w:val="2 litres"/>
              </w:smartTagPr>
              <w:r w:rsidRPr="00FD7BF0">
                <w:t xml:space="preserve">2 </w:t>
              </w:r>
              <w:r>
                <w:t>litres</w:t>
              </w:r>
            </w:smartTag>
            <w:r w:rsidRPr="00FD7BF0">
              <w:t xml:space="preserve">) </w:t>
            </w:r>
            <w:r>
              <w:t xml:space="preserve">peuvent être stockés brièvement dans le poste de sécurité microbiologique mais doivent être éliminés au moins une fois par semaine dans des sacs </w:t>
            </w:r>
            <w:proofErr w:type="spellStart"/>
            <w:r>
              <w:t>BioHazard</w:t>
            </w:r>
            <w:proofErr w:type="spellEnd"/>
            <w:r>
              <w:t xml:space="preserve"> plus grands</w:t>
            </w:r>
            <w:r w:rsidRPr="00FD7BF0">
              <w:t xml:space="preserve">. </w:t>
            </w:r>
          </w:p>
          <w:p w:rsidR="00A73C62" w:rsidRPr="00FD7BF0" w:rsidRDefault="00A73C62" w:rsidP="00A73C62">
            <w:pPr>
              <w:pStyle w:val="07BAFUTabellelinks"/>
            </w:pPr>
            <w:r>
              <w:t xml:space="preserve">Le stockage intermédiaire des sacs en plastique </w:t>
            </w:r>
            <w:proofErr w:type="spellStart"/>
            <w:r>
              <w:t>BioH</w:t>
            </w:r>
            <w:r w:rsidRPr="00FD7BF0">
              <w:t>azard</w:t>
            </w:r>
            <w:proofErr w:type="spellEnd"/>
            <w:r>
              <w:t xml:space="preserve"> pleins et fermés s’effectue dans un conteneur</w:t>
            </w:r>
            <w:r w:rsidRPr="00FD7BF0">
              <w:t xml:space="preserve">. </w:t>
            </w:r>
          </w:p>
        </w:tc>
        <w:tc>
          <w:tcPr>
            <w:tcW w:w="948" w:type="pct"/>
            <w:shd w:val="clear" w:color="auto" w:fill="F2F2F2" w:themeFill="background1" w:themeFillShade="F2"/>
          </w:tcPr>
          <w:p w:rsidR="00A73C62" w:rsidRPr="00FD7BF0" w:rsidRDefault="00A73C62" w:rsidP="00A73C62">
            <w:pPr>
              <w:pStyle w:val="07BAFUTabellelinks"/>
            </w:pPr>
            <w:r>
              <w:t>Une fois par semaine</w:t>
            </w:r>
            <w:r w:rsidRPr="00FD7BF0">
              <w:t xml:space="preserve"> </w:t>
            </w:r>
          </w:p>
        </w:tc>
        <w:tc>
          <w:tcPr>
            <w:tcW w:w="216" w:type="pct"/>
            <w:shd w:val="clear" w:color="auto" w:fill="F2F2F2" w:themeFill="background1" w:themeFillShade="F2"/>
          </w:tcPr>
          <w:p w:rsidR="00A73C62" w:rsidRPr="00626941" w:rsidRDefault="00A73C62" w:rsidP="00A73C62">
            <w:pPr>
              <w:pStyle w:val="Tabelle"/>
              <w:spacing w:line="240" w:lineRule="exact"/>
              <w:rPr>
                <w:rFonts w:cs="Arial"/>
                <w:sz w:val="16"/>
                <w:szCs w:val="16"/>
                <w:lang w:val="de-CH"/>
              </w:rPr>
            </w:pPr>
          </w:p>
        </w:tc>
      </w:tr>
      <w:tr w:rsidR="00A73C62" w:rsidRPr="00626941" w:rsidTr="000A1656">
        <w:trPr>
          <w:trHeight w:val="966"/>
        </w:trPr>
        <w:tc>
          <w:tcPr>
            <w:tcW w:w="230" w:type="pct"/>
            <w:textDirection w:val="btLr"/>
            <w:vAlign w:val="center"/>
          </w:tcPr>
          <w:p w:rsidR="00A73C62" w:rsidRPr="00626941" w:rsidRDefault="00A73C62" w:rsidP="00A73C62">
            <w:pPr>
              <w:pStyle w:val="Tabelle"/>
              <w:spacing w:before="0" w:after="0" w:line="200" w:lineRule="exact"/>
              <w:ind w:left="0" w:right="0"/>
              <w:jc w:val="center"/>
              <w:rPr>
                <w:rFonts w:cs="Arial"/>
                <w:b/>
                <w:sz w:val="16"/>
                <w:szCs w:val="16"/>
                <w:lang w:val="de-CH"/>
              </w:rPr>
            </w:pPr>
            <w:proofErr w:type="spellStart"/>
            <w:r w:rsidRPr="00A73C62">
              <w:rPr>
                <w:rFonts w:cs="Arial"/>
                <w:b/>
                <w:sz w:val="16"/>
                <w:szCs w:val="16"/>
                <w:lang w:val="fr-FR"/>
              </w:rPr>
              <w:t>Transpor</w:t>
            </w:r>
            <w:proofErr w:type="spellEnd"/>
          </w:p>
        </w:tc>
        <w:tc>
          <w:tcPr>
            <w:tcW w:w="1436" w:type="pct"/>
          </w:tcPr>
          <w:p w:rsidR="00A73C62" w:rsidRPr="001B0A0B" w:rsidRDefault="00A73C62" w:rsidP="00A73C62">
            <w:pPr>
              <w:pStyle w:val="Tabelle"/>
              <w:spacing w:line="240" w:lineRule="exact"/>
              <w:rPr>
                <w:rFonts w:cs="Arial"/>
                <w:sz w:val="16"/>
                <w:szCs w:val="16"/>
                <w:lang w:val="fr-CH"/>
              </w:rPr>
            </w:pPr>
            <w:r w:rsidRPr="001B0A0B">
              <w:rPr>
                <w:rFonts w:cs="Arial"/>
                <w:sz w:val="16"/>
                <w:szCs w:val="16"/>
                <w:lang w:val="fr-FR"/>
              </w:rPr>
              <w:t>Transport jusqu’au lieu de traitement</w:t>
            </w:r>
          </w:p>
        </w:tc>
        <w:tc>
          <w:tcPr>
            <w:tcW w:w="2169" w:type="pct"/>
          </w:tcPr>
          <w:p w:rsidR="00A73C62" w:rsidRPr="00FD7BF0" w:rsidRDefault="00A73C62" w:rsidP="00A73C62">
            <w:pPr>
              <w:pStyle w:val="07BAFUTabellelinks"/>
            </w:pPr>
            <w:r>
              <w:t xml:space="preserve">Les </w:t>
            </w:r>
            <w:proofErr w:type="spellStart"/>
            <w:r>
              <w:t>conteneurs</w:t>
            </w:r>
            <w:proofErr w:type="spellEnd"/>
            <w:r>
              <w:t xml:space="preserve"> </w:t>
            </w:r>
            <w:proofErr w:type="spellStart"/>
            <w:r>
              <w:t>doivent</w:t>
            </w:r>
            <w:proofErr w:type="spellEnd"/>
            <w:r>
              <w:t xml:space="preserve"> </w:t>
            </w:r>
            <w:proofErr w:type="spellStart"/>
            <w:r>
              <w:t>être</w:t>
            </w:r>
            <w:proofErr w:type="spellEnd"/>
            <w:r>
              <w:t xml:space="preserve"> acheminés par</w:t>
            </w:r>
            <w:r w:rsidRPr="00FD7BF0">
              <w:t xml:space="preserve"> </w:t>
            </w:r>
            <w:r>
              <w:t xml:space="preserve">le chemin le plus direct jusqu’à l’autoclave, et le matériel doit être inactivé </w:t>
            </w:r>
            <w:r>
              <w:rPr>
                <w:b/>
              </w:rPr>
              <w:t>immédiatement,</w:t>
            </w:r>
            <w:r w:rsidRPr="00FD7BF0">
              <w:t xml:space="preserve"> </w:t>
            </w:r>
            <w:r>
              <w:t>sans stockage intermédiaire supplémentaire</w:t>
            </w:r>
            <w:r w:rsidRPr="00FD7BF0">
              <w:t>.</w:t>
            </w:r>
          </w:p>
        </w:tc>
        <w:tc>
          <w:tcPr>
            <w:tcW w:w="948" w:type="pct"/>
          </w:tcPr>
          <w:p w:rsidR="00A73C62" w:rsidRPr="00FD7BF0" w:rsidRDefault="00A73C62" w:rsidP="00A73C62">
            <w:pPr>
              <w:pStyle w:val="07BAFUTabellelinks"/>
            </w:pPr>
            <w:r>
              <w:t>Une fois par semaine</w:t>
            </w:r>
            <w:r w:rsidRPr="00FD7BF0">
              <w:t xml:space="preserve"> </w:t>
            </w:r>
          </w:p>
        </w:tc>
        <w:tc>
          <w:tcPr>
            <w:tcW w:w="216" w:type="pct"/>
          </w:tcPr>
          <w:p w:rsidR="00A73C62" w:rsidRPr="00626941" w:rsidRDefault="00A73C62" w:rsidP="00A73C62">
            <w:pPr>
              <w:pStyle w:val="Tabelle"/>
              <w:spacing w:line="240" w:lineRule="exact"/>
              <w:rPr>
                <w:rFonts w:cs="Arial"/>
                <w:sz w:val="16"/>
                <w:szCs w:val="16"/>
                <w:lang w:val="de-CH"/>
              </w:rPr>
            </w:pPr>
          </w:p>
        </w:tc>
      </w:tr>
      <w:tr w:rsidR="000A1656" w:rsidRPr="000A1656" w:rsidTr="00FC4611">
        <w:trPr>
          <w:trHeight w:val="20"/>
        </w:trPr>
        <w:tc>
          <w:tcPr>
            <w:tcW w:w="230" w:type="pct"/>
            <w:vMerge w:val="restart"/>
            <w:shd w:val="clear" w:color="auto" w:fill="D9D9D9" w:themeFill="background1" w:themeFillShade="D9"/>
            <w:textDirection w:val="btLr"/>
            <w:vAlign w:val="center"/>
          </w:tcPr>
          <w:p w:rsidR="000A1656" w:rsidRPr="00626941" w:rsidRDefault="000A1656" w:rsidP="000A1656">
            <w:pPr>
              <w:pStyle w:val="Tabelle"/>
              <w:spacing w:before="0" w:after="0" w:line="200" w:lineRule="exact"/>
              <w:ind w:left="0" w:right="0"/>
              <w:jc w:val="center"/>
              <w:rPr>
                <w:rFonts w:cs="Arial"/>
                <w:b/>
                <w:sz w:val="16"/>
                <w:szCs w:val="16"/>
                <w:lang w:val="de-CH"/>
              </w:rPr>
            </w:pPr>
            <w:r w:rsidRPr="000A1656">
              <w:rPr>
                <w:rFonts w:cs="Arial"/>
                <w:b/>
                <w:sz w:val="16"/>
                <w:szCs w:val="16"/>
                <w:lang w:val="fr-FR"/>
              </w:rPr>
              <w:t>Inactivation</w:t>
            </w:r>
          </w:p>
        </w:tc>
        <w:tc>
          <w:tcPr>
            <w:tcW w:w="1436" w:type="pct"/>
            <w:shd w:val="clear" w:color="auto" w:fill="F2F2F2" w:themeFill="background1" w:themeFillShade="F2"/>
          </w:tcPr>
          <w:p w:rsidR="000A1656" w:rsidRPr="00FD7BF0" w:rsidRDefault="000A1656" w:rsidP="000A1656">
            <w:pPr>
              <w:pStyle w:val="07BAFUTabellelinks"/>
            </w:pPr>
            <w:r>
              <w:t>Chargement de l’autoclave</w:t>
            </w:r>
          </w:p>
        </w:tc>
        <w:tc>
          <w:tcPr>
            <w:tcW w:w="2169" w:type="pct"/>
            <w:shd w:val="clear" w:color="auto" w:fill="F2F2F2" w:themeFill="background1" w:themeFillShade="F2"/>
          </w:tcPr>
          <w:p w:rsidR="000A1656" w:rsidRPr="00FD7BF0" w:rsidRDefault="000A1656" w:rsidP="000A1656">
            <w:pPr>
              <w:pStyle w:val="07BAFUTabellelinks"/>
            </w:pPr>
            <w:r>
              <w:t>L’autoclave doit être chargée et mise en service par du personnel compétent</w:t>
            </w:r>
            <w:r w:rsidRPr="00FD7BF0">
              <w:t>.</w:t>
            </w:r>
          </w:p>
        </w:tc>
        <w:tc>
          <w:tcPr>
            <w:tcW w:w="948" w:type="pct"/>
            <w:shd w:val="clear" w:color="auto" w:fill="F2F2F2" w:themeFill="background1" w:themeFillShade="F2"/>
          </w:tcPr>
          <w:p w:rsidR="000A1656" w:rsidRPr="00FD7BF0" w:rsidRDefault="000A1656" w:rsidP="000A1656">
            <w:pPr>
              <w:pStyle w:val="Tabelle"/>
              <w:spacing w:line="240" w:lineRule="exact"/>
              <w:rPr>
                <w:lang w:val="fr-FR"/>
              </w:rPr>
            </w:pPr>
          </w:p>
        </w:tc>
        <w:tc>
          <w:tcPr>
            <w:tcW w:w="216" w:type="pct"/>
            <w:shd w:val="clear" w:color="auto" w:fill="F2F2F2" w:themeFill="background1" w:themeFillShade="F2"/>
          </w:tcPr>
          <w:p w:rsidR="000A1656" w:rsidRPr="000A1656" w:rsidRDefault="000A1656" w:rsidP="000A1656">
            <w:pPr>
              <w:pStyle w:val="Tabelle"/>
              <w:spacing w:line="240" w:lineRule="exact"/>
              <w:rPr>
                <w:rFonts w:cs="Arial"/>
                <w:sz w:val="16"/>
                <w:szCs w:val="16"/>
                <w:lang w:val="fr-CH"/>
              </w:rPr>
            </w:pPr>
          </w:p>
        </w:tc>
      </w:tr>
      <w:tr w:rsidR="000A1656" w:rsidRPr="000A1656" w:rsidTr="00FC4611">
        <w:trPr>
          <w:trHeight w:val="20"/>
        </w:trPr>
        <w:tc>
          <w:tcPr>
            <w:tcW w:w="230" w:type="pct"/>
            <w:vMerge/>
            <w:shd w:val="clear" w:color="auto" w:fill="D9D9D9" w:themeFill="background1" w:themeFillShade="D9"/>
            <w:textDirection w:val="btLr"/>
            <w:vAlign w:val="center"/>
          </w:tcPr>
          <w:p w:rsidR="000A1656" w:rsidRPr="000A1656" w:rsidRDefault="000A1656" w:rsidP="000A1656">
            <w:pPr>
              <w:pStyle w:val="Tabelle"/>
              <w:spacing w:before="0" w:after="0" w:line="200" w:lineRule="exact"/>
              <w:ind w:left="0" w:right="0"/>
              <w:jc w:val="center"/>
              <w:rPr>
                <w:rFonts w:cs="Arial"/>
                <w:b/>
                <w:sz w:val="16"/>
                <w:szCs w:val="16"/>
                <w:lang w:val="fr-CH"/>
              </w:rPr>
            </w:pPr>
          </w:p>
        </w:tc>
        <w:tc>
          <w:tcPr>
            <w:tcW w:w="1436" w:type="pct"/>
            <w:shd w:val="clear" w:color="auto" w:fill="F2F2F2" w:themeFill="background1" w:themeFillShade="F2"/>
          </w:tcPr>
          <w:p w:rsidR="000A1656" w:rsidRPr="00FD7BF0" w:rsidRDefault="000A1656" w:rsidP="000A1656">
            <w:pPr>
              <w:pStyle w:val="07BAFUTabellelinks"/>
            </w:pPr>
            <w:r>
              <w:t>Contrôle de l’inactivation</w:t>
            </w:r>
          </w:p>
        </w:tc>
        <w:tc>
          <w:tcPr>
            <w:tcW w:w="2169" w:type="pct"/>
            <w:shd w:val="clear" w:color="auto" w:fill="F2F2F2" w:themeFill="background1" w:themeFillShade="F2"/>
          </w:tcPr>
          <w:p w:rsidR="000A1656" w:rsidRPr="00FD7BF0" w:rsidRDefault="000A1656" w:rsidP="000A1656">
            <w:pPr>
              <w:pStyle w:val="07BAFUTabellelinks"/>
            </w:pPr>
            <w:r>
              <w:t>Les protocoles d’autoclavage doivent être rassemblés et archivés</w:t>
            </w:r>
            <w:r w:rsidRPr="00FD7BF0">
              <w:t>.</w:t>
            </w:r>
          </w:p>
        </w:tc>
        <w:tc>
          <w:tcPr>
            <w:tcW w:w="948" w:type="pct"/>
            <w:shd w:val="clear" w:color="auto" w:fill="F2F2F2" w:themeFill="background1" w:themeFillShade="F2"/>
          </w:tcPr>
          <w:p w:rsidR="000A1656" w:rsidRPr="00FD7BF0" w:rsidRDefault="000A1656" w:rsidP="000A1656">
            <w:pPr>
              <w:pStyle w:val="07BAFUTabellelinks"/>
            </w:pPr>
          </w:p>
        </w:tc>
        <w:tc>
          <w:tcPr>
            <w:tcW w:w="216" w:type="pct"/>
            <w:shd w:val="clear" w:color="auto" w:fill="F2F2F2" w:themeFill="background1" w:themeFillShade="F2"/>
          </w:tcPr>
          <w:p w:rsidR="000A1656" w:rsidRPr="000A1656" w:rsidRDefault="000A1656" w:rsidP="000A1656">
            <w:pPr>
              <w:pStyle w:val="Tabelle"/>
              <w:spacing w:line="240" w:lineRule="exact"/>
              <w:rPr>
                <w:rFonts w:cs="Arial"/>
                <w:sz w:val="16"/>
                <w:szCs w:val="16"/>
                <w:lang w:val="fr-CH"/>
              </w:rPr>
            </w:pPr>
          </w:p>
        </w:tc>
      </w:tr>
      <w:tr w:rsidR="000A1656" w:rsidRPr="000A1656" w:rsidTr="00FC4611">
        <w:trPr>
          <w:trHeight w:val="20"/>
        </w:trPr>
        <w:tc>
          <w:tcPr>
            <w:tcW w:w="230" w:type="pct"/>
            <w:vMerge/>
            <w:shd w:val="clear" w:color="auto" w:fill="D9D9D9" w:themeFill="background1" w:themeFillShade="D9"/>
            <w:textDirection w:val="btLr"/>
            <w:vAlign w:val="center"/>
          </w:tcPr>
          <w:p w:rsidR="000A1656" w:rsidRPr="000A1656" w:rsidRDefault="000A1656" w:rsidP="000A1656">
            <w:pPr>
              <w:pStyle w:val="Tabelle"/>
              <w:spacing w:before="0" w:after="0" w:line="200" w:lineRule="exact"/>
              <w:ind w:left="0" w:right="0"/>
              <w:jc w:val="center"/>
              <w:rPr>
                <w:rFonts w:cs="Arial"/>
                <w:b/>
                <w:sz w:val="16"/>
                <w:szCs w:val="16"/>
                <w:lang w:val="fr-CH"/>
              </w:rPr>
            </w:pPr>
          </w:p>
        </w:tc>
        <w:tc>
          <w:tcPr>
            <w:tcW w:w="1436" w:type="pct"/>
            <w:shd w:val="clear" w:color="auto" w:fill="F2F2F2" w:themeFill="background1" w:themeFillShade="F2"/>
          </w:tcPr>
          <w:p w:rsidR="000A1656" w:rsidRPr="00FD7BF0" w:rsidRDefault="000A1656" w:rsidP="000A1656">
            <w:pPr>
              <w:pStyle w:val="07BAFUTabellelinks"/>
            </w:pPr>
            <w:proofErr w:type="spellStart"/>
            <w:r>
              <w:t>Entretien</w:t>
            </w:r>
            <w:proofErr w:type="spellEnd"/>
            <w:r>
              <w:t xml:space="preserve"> de </w:t>
            </w:r>
            <w:proofErr w:type="spellStart"/>
            <w:r>
              <w:t>l’installation</w:t>
            </w:r>
            <w:proofErr w:type="spellEnd"/>
          </w:p>
        </w:tc>
        <w:tc>
          <w:tcPr>
            <w:tcW w:w="2169" w:type="pct"/>
            <w:shd w:val="clear" w:color="auto" w:fill="F2F2F2" w:themeFill="background1" w:themeFillShade="F2"/>
          </w:tcPr>
          <w:p w:rsidR="000A1656" w:rsidRPr="00FD7BF0" w:rsidRDefault="000A1656" w:rsidP="000A1656">
            <w:pPr>
              <w:pStyle w:val="07BAFUTabellelinks"/>
            </w:pPr>
            <w:r>
              <w:t>L’autoclave doit être entretenu conformément au plan de maintenance</w:t>
            </w:r>
            <w:r w:rsidRPr="00FD7BF0">
              <w:t>.</w:t>
            </w:r>
          </w:p>
        </w:tc>
        <w:tc>
          <w:tcPr>
            <w:tcW w:w="948" w:type="pct"/>
            <w:shd w:val="clear" w:color="auto" w:fill="F2F2F2" w:themeFill="background1" w:themeFillShade="F2"/>
          </w:tcPr>
          <w:p w:rsidR="000A1656" w:rsidRPr="00FD7BF0" w:rsidRDefault="000A1656" w:rsidP="000A1656">
            <w:pPr>
              <w:pStyle w:val="07BAFUTabellelinks"/>
            </w:pPr>
            <w:r>
              <w:t>Au moins une fois par an</w:t>
            </w:r>
          </w:p>
        </w:tc>
        <w:tc>
          <w:tcPr>
            <w:tcW w:w="216" w:type="pct"/>
            <w:shd w:val="clear" w:color="auto" w:fill="F2F2F2" w:themeFill="background1" w:themeFillShade="F2"/>
          </w:tcPr>
          <w:p w:rsidR="000A1656" w:rsidRPr="000A1656" w:rsidRDefault="000A1656" w:rsidP="000A1656">
            <w:pPr>
              <w:pStyle w:val="Tabelle"/>
              <w:spacing w:line="240" w:lineRule="exact"/>
              <w:rPr>
                <w:rFonts w:cs="Arial"/>
                <w:sz w:val="16"/>
                <w:szCs w:val="16"/>
                <w:lang w:val="fr-CH"/>
              </w:rPr>
            </w:pPr>
          </w:p>
        </w:tc>
      </w:tr>
      <w:tr w:rsidR="000A1656" w:rsidRPr="000A1656" w:rsidTr="00626941">
        <w:trPr>
          <w:trHeight w:val="20"/>
        </w:trPr>
        <w:tc>
          <w:tcPr>
            <w:tcW w:w="230" w:type="pct"/>
            <w:textDirection w:val="btLr"/>
            <w:vAlign w:val="center"/>
          </w:tcPr>
          <w:p w:rsidR="000A1656" w:rsidRPr="00626941" w:rsidRDefault="000A1656" w:rsidP="000A1656">
            <w:pPr>
              <w:pStyle w:val="Tabelle"/>
              <w:spacing w:before="0" w:after="0" w:line="200" w:lineRule="exact"/>
              <w:ind w:left="0" w:right="0"/>
              <w:jc w:val="center"/>
              <w:rPr>
                <w:rFonts w:cs="Arial"/>
                <w:b/>
                <w:sz w:val="16"/>
                <w:szCs w:val="16"/>
                <w:lang w:val="de-CH"/>
              </w:rPr>
            </w:pPr>
            <w:r w:rsidRPr="00626941">
              <w:rPr>
                <w:rFonts w:cs="Arial"/>
                <w:b/>
                <w:sz w:val="16"/>
                <w:szCs w:val="16"/>
                <w:lang w:val="de-CH"/>
              </w:rPr>
              <w:t>Entsorgung</w:t>
            </w:r>
          </w:p>
        </w:tc>
        <w:tc>
          <w:tcPr>
            <w:tcW w:w="1436" w:type="pct"/>
          </w:tcPr>
          <w:p w:rsidR="000A1656" w:rsidRPr="00FD7BF0" w:rsidRDefault="000A1656" w:rsidP="000A1656">
            <w:pPr>
              <w:pStyle w:val="07BAFUTabellelinks"/>
            </w:pPr>
            <w:r w:rsidRPr="00FD7BF0">
              <w:t>É</w:t>
            </w:r>
            <w:r>
              <w:t xml:space="preserve">limination des déchets </w:t>
            </w:r>
            <w:proofErr w:type="spellStart"/>
            <w:r>
              <w:t>autoclavés</w:t>
            </w:r>
            <w:proofErr w:type="spellEnd"/>
          </w:p>
        </w:tc>
        <w:tc>
          <w:tcPr>
            <w:tcW w:w="2169" w:type="pct"/>
          </w:tcPr>
          <w:p w:rsidR="000A1656" w:rsidRPr="00FD7BF0" w:rsidRDefault="000A1656" w:rsidP="000A1656">
            <w:pPr>
              <w:pStyle w:val="07BAFUTabellelinks"/>
            </w:pPr>
            <w:r>
              <w:t xml:space="preserve">Les déchets en verre qui ne posent pas problème et sont comparables à des déchets urbains </w:t>
            </w:r>
            <w:r w:rsidRPr="00FD7BF0">
              <w:t>(</w:t>
            </w:r>
            <w:r>
              <w:t>p. ex. les tubes de culture cassés) sont éliminés avec les ordures de l’entreprise dans des emballages appropriés et avec les mesures de sécurité qui s’imposent pour éviter les blessures par coupure</w:t>
            </w:r>
            <w:r w:rsidRPr="00FD7BF0">
              <w:t>.</w:t>
            </w:r>
          </w:p>
          <w:p w:rsidR="000A1656" w:rsidRPr="00FD7BF0" w:rsidRDefault="000A1656" w:rsidP="000A1656">
            <w:pPr>
              <w:pStyle w:val="07BAFUTabellelinks"/>
            </w:pPr>
            <w:r>
              <w:t>Les déchets présentant un danger de blessure</w:t>
            </w:r>
            <w:r w:rsidRPr="00FD7BF0">
              <w:t xml:space="preserve"> (</w:t>
            </w:r>
            <w:proofErr w:type="spellStart"/>
            <w:r w:rsidRPr="00FD7BF0">
              <w:rPr>
                <w:i/>
              </w:rPr>
              <w:t>sharps</w:t>
            </w:r>
            <w:proofErr w:type="spellEnd"/>
            <w:r>
              <w:t>) sont éliminés en tant que déchets spéciaux</w:t>
            </w:r>
            <w:r w:rsidRPr="00FD7BF0">
              <w:t xml:space="preserve"> (</w:t>
            </w:r>
            <w:r>
              <w:t>voir sous</w:t>
            </w:r>
            <w:r w:rsidRPr="00FD7BF0">
              <w:t xml:space="preserve"> 2.1).</w:t>
            </w:r>
          </w:p>
          <w:p w:rsidR="000A1656" w:rsidRPr="00FD7BF0" w:rsidRDefault="000A1656" w:rsidP="000A1656">
            <w:pPr>
              <w:pStyle w:val="07BAFUTabellelinks"/>
              <w:rPr>
                <w:color w:val="FF0000"/>
              </w:rPr>
            </w:pPr>
            <w:r>
              <w:t>Les déchets ne présentant pas de danger de blessure</w:t>
            </w:r>
            <w:r w:rsidRPr="00FD7BF0">
              <w:t xml:space="preserve"> </w:t>
            </w:r>
            <w:r>
              <w:t>doivent être éliminés avec les ordures normales de l’entreprise</w:t>
            </w:r>
            <w:r w:rsidRPr="00FD7BF0">
              <w:t>.</w:t>
            </w:r>
          </w:p>
          <w:p w:rsidR="000A1656" w:rsidRPr="00FD7BF0" w:rsidRDefault="000A1656" w:rsidP="000A1656">
            <w:pPr>
              <w:pStyle w:val="07BAFUTabellelinks"/>
              <w:rPr>
                <w:b/>
              </w:rPr>
            </w:pPr>
            <w:r>
              <w:t>Les déchets inactivés ne sont éliminés avec les ordures normales de l’entreprise que</w:t>
            </w:r>
            <w:r w:rsidRPr="00FD7BF0">
              <w:t xml:space="preserve"> </w:t>
            </w:r>
            <w:r>
              <w:t xml:space="preserve">lorsque </w:t>
            </w:r>
            <w:r>
              <w:rPr>
                <w:b/>
              </w:rPr>
              <w:t>l’avertissement « risques biologiques » n’est plus visible</w:t>
            </w:r>
            <w:r w:rsidRPr="00FD7BF0">
              <w:t>.</w:t>
            </w:r>
            <w:r>
              <w:t xml:space="preserve"> Il doit, pour ce faire, être recouvert d’une deuxième enveloppe</w:t>
            </w:r>
            <w:r w:rsidRPr="00FD7BF0">
              <w:t>.</w:t>
            </w:r>
            <w:r w:rsidRPr="00FD7BF0">
              <w:rPr>
                <w:b/>
              </w:rPr>
              <w:t xml:space="preserve"> </w:t>
            </w:r>
          </w:p>
        </w:tc>
        <w:tc>
          <w:tcPr>
            <w:tcW w:w="948" w:type="pct"/>
          </w:tcPr>
          <w:p w:rsidR="000A1656" w:rsidRPr="00FD7BF0" w:rsidRDefault="000A1656" w:rsidP="000A1656">
            <w:pPr>
              <w:pStyle w:val="07BAFUTabellelinks"/>
            </w:pPr>
          </w:p>
        </w:tc>
        <w:tc>
          <w:tcPr>
            <w:tcW w:w="216" w:type="pct"/>
          </w:tcPr>
          <w:p w:rsidR="000A1656" w:rsidRPr="000A1656" w:rsidRDefault="000A1656" w:rsidP="000A1656">
            <w:pPr>
              <w:pStyle w:val="Tabelle"/>
              <w:spacing w:line="240" w:lineRule="exact"/>
              <w:rPr>
                <w:rFonts w:cs="Arial"/>
                <w:sz w:val="16"/>
                <w:szCs w:val="16"/>
                <w:lang w:val="fr-CH"/>
              </w:rPr>
            </w:pPr>
          </w:p>
        </w:tc>
      </w:tr>
    </w:tbl>
    <w:p w:rsidR="00C76B89" w:rsidRPr="004F5F82" w:rsidRDefault="00C76B89" w:rsidP="00C76B89">
      <w:pPr>
        <w:pStyle w:val="03BAFUUntertitel"/>
        <w:ind w:left="392" w:hanging="392"/>
        <w:rPr>
          <w:noProof/>
          <w:lang w:val="fr-CH" w:eastAsia="de-CH"/>
        </w:rPr>
      </w:pPr>
      <w:r w:rsidRPr="004F5F82">
        <w:rPr>
          <w:noProof/>
          <w:lang w:val="fr-CH" w:eastAsia="de-CH"/>
        </w:rPr>
        <w:lastRenderedPageBreak/>
        <w:t>2.3</w:t>
      </w:r>
      <w:r w:rsidRPr="004F5F82">
        <w:rPr>
          <w:noProof/>
          <w:lang w:val="fr-CH" w:eastAsia="de-CH"/>
        </w:rPr>
        <w:tab/>
      </w:r>
      <w:r w:rsidR="004F5F82" w:rsidRPr="004F5F82">
        <w:rPr>
          <w:noProof/>
          <w:lang w:val="fr-FR" w:eastAsia="de-CH"/>
        </w:rPr>
        <w:t>Plan d’élimination des déchets liquides</w:t>
      </w:r>
    </w:p>
    <w:p w:rsidR="00C76B89" w:rsidRPr="004F5F82" w:rsidRDefault="00C76B89" w:rsidP="00C76B89">
      <w:pPr>
        <w:pStyle w:val="03BAFUUntertitel"/>
        <w:ind w:left="392" w:hanging="392"/>
        <w:rPr>
          <w:noProof/>
          <w:lang w:val="fr-CH" w:eastAsia="de-CH"/>
        </w:rPr>
      </w:pPr>
    </w:p>
    <w:tbl>
      <w:tblPr>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70" w:type="dxa"/>
          <w:right w:w="70" w:type="dxa"/>
        </w:tblCellMar>
        <w:tblLook w:val="0000" w:firstRow="0" w:lastRow="0" w:firstColumn="0" w:lastColumn="0" w:noHBand="0" w:noVBand="0"/>
      </w:tblPr>
      <w:tblGrid>
        <w:gridCol w:w="903"/>
        <w:gridCol w:w="3771"/>
        <w:gridCol w:w="7395"/>
        <w:gridCol w:w="2239"/>
        <w:gridCol w:w="884"/>
      </w:tblGrid>
      <w:tr w:rsidR="00C76B89" w:rsidRPr="00FD582F" w:rsidTr="00C76B89">
        <w:trPr>
          <w:trHeight w:val="20"/>
        </w:trPr>
        <w:tc>
          <w:tcPr>
            <w:tcW w:w="297" w:type="pct"/>
            <w:tcBorders>
              <w:top w:val="single" w:sz="4" w:space="0" w:color="000000" w:themeColor="text1"/>
              <w:left w:val="nil"/>
              <w:bottom w:val="nil"/>
              <w:right w:val="nil"/>
            </w:tcBorders>
            <w:vAlign w:val="center"/>
          </w:tcPr>
          <w:p w:rsidR="00C76B89" w:rsidRPr="004F5F82" w:rsidRDefault="00C76B89" w:rsidP="006E0165">
            <w:pPr>
              <w:spacing w:before="20" w:after="20" w:line="240" w:lineRule="exact"/>
              <w:ind w:left="57" w:right="57"/>
              <w:jc w:val="center"/>
              <w:rPr>
                <w:rFonts w:ascii="Arial" w:hAnsi="Arial"/>
                <w:b/>
                <w:sz w:val="18"/>
                <w:lang w:val="fr-CH"/>
              </w:rPr>
            </w:pPr>
          </w:p>
        </w:tc>
        <w:tc>
          <w:tcPr>
            <w:tcW w:w="1241" w:type="pct"/>
            <w:tcBorders>
              <w:top w:val="single" w:sz="4" w:space="0" w:color="000000" w:themeColor="text1"/>
              <w:left w:val="nil"/>
              <w:bottom w:val="nil"/>
              <w:right w:val="nil"/>
            </w:tcBorders>
          </w:tcPr>
          <w:p w:rsidR="00C76B89" w:rsidRPr="00D13A84" w:rsidRDefault="00D13A84" w:rsidP="006E0165">
            <w:pPr>
              <w:spacing w:before="20" w:after="20" w:line="240" w:lineRule="exact"/>
              <w:ind w:left="57" w:right="57"/>
              <w:rPr>
                <w:rFonts w:ascii="Arial" w:hAnsi="Arial"/>
                <w:b/>
                <w:sz w:val="18"/>
                <w:lang w:val="fr-CH"/>
              </w:rPr>
            </w:pPr>
            <w:r w:rsidRPr="00D13A84">
              <w:rPr>
                <w:rFonts w:ascii="Arial" w:hAnsi="Arial"/>
                <w:b/>
                <w:sz w:val="18"/>
                <w:lang w:val="fr-FR"/>
              </w:rPr>
              <w:t>Déchets liquides (restes de cultures)</w:t>
            </w:r>
          </w:p>
        </w:tc>
        <w:tc>
          <w:tcPr>
            <w:tcW w:w="2434" w:type="pct"/>
            <w:tcBorders>
              <w:top w:val="single" w:sz="4" w:space="0" w:color="000000" w:themeColor="text1"/>
              <w:left w:val="nil"/>
              <w:bottom w:val="nil"/>
              <w:right w:val="nil"/>
            </w:tcBorders>
          </w:tcPr>
          <w:p w:rsidR="00C76B89" w:rsidRPr="00D87649" w:rsidRDefault="00D13A84" w:rsidP="006E0165">
            <w:pPr>
              <w:spacing w:before="20" w:after="20" w:line="240" w:lineRule="exact"/>
              <w:ind w:left="57" w:right="57"/>
              <w:rPr>
                <w:rFonts w:ascii="Arial" w:hAnsi="Arial"/>
                <w:b/>
                <w:sz w:val="18"/>
              </w:rPr>
            </w:pPr>
            <w:r w:rsidRPr="00D13A84">
              <w:rPr>
                <w:rFonts w:ascii="Arial" w:hAnsi="Arial"/>
                <w:b/>
                <w:sz w:val="18"/>
                <w:lang w:val="fr-FR"/>
              </w:rPr>
              <w:t>Comment</w:t>
            </w:r>
            <w:r w:rsidR="00C76B89" w:rsidRPr="00D87649">
              <w:rPr>
                <w:rFonts w:ascii="Arial" w:hAnsi="Arial"/>
                <w:b/>
                <w:sz w:val="18"/>
              </w:rPr>
              <w:t xml:space="preserve"> </w:t>
            </w:r>
          </w:p>
        </w:tc>
        <w:tc>
          <w:tcPr>
            <w:tcW w:w="737" w:type="pct"/>
            <w:tcBorders>
              <w:top w:val="single" w:sz="4" w:space="0" w:color="000000" w:themeColor="text1"/>
              <w:left w:val="nil"/>
              <w:bottom w:val="nil"/>
              <w:right w:val="nil"/>
            </w:tcBorders>
          </w:tcPr>
          <w:p w:rsidR="00C76B89" w:rsidRPr="00D87649" w:rsidRDefault="00D13A84" w:rsidP="006E0165">
            <w:pPr>
              <w:spacing w:before="20" w:after="20" w:line="240" w:lineRule="exact"/>
              <w:ind w:left="57" w:right="57"/>
              <w:rPr>
                <w:rFonts w:ascii="Arial" w:hAnsi="Arial"/>
                <w:b/>
                <w:sz w:val="18"/>
              </w:rPr>
            </w:pPr>
            <w:r w:rsidRPr="00D13A84">
              <w:rPr>
                <w:rFonts w:ascii="Arial" w:hAnsi="Arial"/>
                <w:b/>
                <w:sz w:val="18"/>
                <w:lang w:val="fr-FR"/>
              </w:rPr>
              <w:t>Quand / Périodicité</w:t>
            </w:r>
          </w:p>
        </w:tc>
        <w:tc>
          <w:tcPr>
            <w:tcW w:w="291" w:type="pct"/>
            <w:tcBorders>
              <w:top w:val="single" w:sz="4" w:space="0" w:color="000000" w:themeColor="text1"/>
              <w:left w:val="nil"/>
              <w:bottom w:val="nil"/>
              <w:right w:val="nil"/>
            </w:tcBorders>
          </w:tcPr>
          <w:p w:rsidR="00C76B89" w:rsidRPr="00D87649" w:rsidRDefault="00D13A84" w:rsidP="006E0165">
            <w:pPr>
              <w:spacing w:before="20" w:after="20" w:line="240" w:lineRule="exact"/>
              <w:ind w:left="57" w:right="57"/>
              <w:rPr>
                <w:rFonts w:ascii="Arial" w:hAnsi="Arial"/>
                <w:b/>
                <w:sz w:val="18"/>
              </w:rPr>
            </w:pPr>
            <w:r w:rsidRPr="00D13A84">
              <w:rPr>
                <w:rFonts w:ascii="Arial" w:hAnsi="Arial"/>
                <w:b/>
                <w:sz w:val="18"/>
                <w:lang w:val="fr-FR"/>
              </w:rPr>
              <w:t>Qui</w:t>
            </w:r>
          </w:p>
        </w:tc>
      </w:tr>
      <w:tr w:rsidR="00653BB4" w:rsidRPr="00653BB4" w:rsidTr="00C76B89">
        <w:trPr>
          <w:trHeight w:val="20"/>
        </w:trPr>
        <w:tc>
          <w:tcPr>
            <w:tcW w:w="297" w:type="pct"/>
            <w:vMerge w:val="restart"/>
            <w:tcBorders>
              <w:top w:val="nil"/>
            </w:tcBorders>
            <w:shd w:val="clear" w:color="auto" w:fill="D9D9D9" w:themeFill="background1" w:themeFillShade="D9"/>
            <w:textDirection w:val="btLr"/>
            <w:vAlign w:val="center"/>
          </w:tcPr>
          <w:p w:rsidR="00653BB4" w:rsidRPr="00D87649" w:rsidRDefault="00653BB4" w:rsidP="00653BB4">
            <w:pPr>
              <w:pStyle w:val="Tabelle"/>
              <w:spacing w:before="0" w:after="0" w:line="200" w:lineRule="exact"/>
              <w:ind w:left="0" w:right="0"/>
              <w:jc w:val="center"/>
              <w:rPr>
                <w:b/>
                <w:lang w:val="de-CH"/>
              </w:rPr>
            </w:pPr>
            <w:r w:rsidRPr="00D13A84">
              <w:rPr>
                <w:b/>
                <w:lang w:val="fr-FR"/>
              </w:rPr>
              <w:t>Description/ Collecte</w:t>
            </w:r>
          </w:p>
        </w:tc>
        <w:tc>
          <w:tcPr>
            <w:tcW w:w="1241" w:type="pct"/>
            <w:tcBorders>
              <w:top w:val="nil"/>
            </w:tcBorders>
            <w:shd w:val="clear" w:color="auto" w:fill="F2F2F2" w:themeFill="background1" w:themeFillShade="F2"/>
          </w:tcPr>
          <w:p w:rsidR="00653BB4" w:rsidRPr="00FD7BF0" w:rsidRDefault="00653BB4" w:rsidP="00653BB4">
            <w:pPr>
              <w:pStyle w:val="07BAFUTabellelinks"/>
            </w:pPr>
            <w:r>
              <w:t xml:space="preserve">Principes de tri des déchets </w:t>
            </w:r>
          </w:p>
        </w:tc>
        <w:tc>
          <w:tcPr>
            <w:tcW w:w="2434" w:type="pct"/>
            <w:tcBorders>
              <w:top w:val="nil"/>
            </w:tcBorders>
            <w:shd w:val="clear" w:color="auto" w:fill="F2F2F2" w:themeFill="background1" w:themeFillShade="F2"/>
          </w:tcPr>
          <w:p w:rsidR="00653BB4" w:rsidRPr="00FD7BF0" w:rsidRDefault="00653BB4" w:rsidP="00653BB4">
            <w:pPr>
              <w:pStyle w:val="07BAFUTabellelinks"/>
            </w:pPr>
            <w:proofErr w:type="gramStart"/>
            <w:r>
              <w:t>Collecter</w:t>
            </w:r>
            <w:proofErr w:type="gramEnd"/>
            <w:r>
              <w:t xml:space="preserve"> séparément les milieux de culture de cellules et les solutions pour perfusion</w:t>
            </w:r>
            <w:r w:rsidRPr="00FD7BF0">
              <w:t>.</w:t>
            </w:r>
          </w:p>
        </w:tc>
        <w:tc>
          <w:tcPr>
            <w:tcW w:w="737" w:type="pct"/>
            <w:tcBorders>
              <w:top w:val="nil"/>
            </w:tcBorders>
            <w:shd w:val="clear" w:color="auto" w:fill="F2F2F2" w:themeFill="background1" w:themeFillShade="F2"/>
          </w:tcPr>
          <w:p w:rsidR="00653BB4" w:rsidRPr="00FD7BF0" w:rsidRDefault="00653BB4" w:rsidP="00653BB4">
            <w:pPr>
              <w:pStyle w:val="07BAFUTabellelinks"/>
            </w:pPr>
          </w:p>
        </w:tc>
        <w:tc>
          <w:tcPr>
            <w:tcW w:w="291" w:type="pct"/>
            <w:tcBorders>
              <w:top w:val="nil"/>
            </w:tcBorders>
            <w:shd w:val="clear" w:color="auto" w:fill="F2F2F2" w:themeFill="background1" w:themeFillShade="F2"/>
          </w:tcPr>
          <w:p w:rsidR="00653BB4" w:rsidRPr="00653BB4" w:rsidRDefault="00653BB4" w:rsidP="00653BB4">
            <w:pPr>
              <w:pStyle w:val="Tabelle"/>
              <w:spacing w:line="240" w:lineRule="exact"/>
              <w:rPr>
                <w:lang w:val="fr-CH"/>
              </w:rPr>
            </w:pPr>
          </w:p>
        </w:tc>
      </w:tr>
      <w:tr w:rsidR="00653BB4" w:rsidRPr="00653BB4" w:rsidTr="00C76B89">
        <w:trPr>
          <w:trHeight w:val="20"/>
        </w:trPr>
        <w:tc>
          <w:tcPr>
            <w:tcW w:w="297" w:type="pct"/>
            <w:vMerge/>
            <w:shd w:val="clear" w:color="auto" w:fill="D9D9D9" w:themeFill="background1" w:themeFillShade="D9"/>
            <w:textDirection w:val="btLr"/>
            <w:vAlign w:val="center"/>
          </w:tcPr>
          <w:p w:rsidR="00653BB4" w:rsidRPr="00653BB4" w:rsidRDefault="00653BB4" w:rsidP="00653BB4">
            <w:pPr>
              <w:pStyle w:val="Tabelle"/>
              <w:spacing w:before="0" w:after="0" w:line="200" w:lineRule="exact"/>
              <w:ind w:left="0" w:right="0"/>
              <w:jc w:val="center"/>
              <w:rPr>
                <w:b/>
                <w:lang w:val="fr-CH"/>
              </w:rPr>
            </w:pPr>
          </w:p>
        </w:tc>
        <w:tc>
          <w:tcPr>
            <w:tcW w:w="1241" w:type="pct"/>
            <w:shd w:val="clear" w:color="auto" w:fill="F2F2F2" w:themeFill="background1" w:themeFillShade="F2"/>
          </w:tcPr>
          <w:p w:rsidR="00653BB4" w:rsidRPr="00FD7BF0" w:rsidRDefault="00653BB4" w:rsidP="00653BB4">
            <w:pPr>
              <w:pStyle w:val="07BAFUTabellelinks"/>
            </w:pPr>
            <w:r w:rsidRPr="00FD7BF0">
              <w:t>Typ</w:t>
            </w:r>
            <w:r>
              <w:t xml:space="preserve">e de </w:t>
            </w:r>
            <w:proofErr w:type="spellStart"/>
            <w:r>
              <w:t>récipient</w:t>
            </w:r>
            <w:proofErr w:type="spellEnd"/>
            <w:r w:rsidRPr="00FD7BF0">
              <w:t xml:space="preserve"> </w:t>
            </w:r>
          </w:p>
        </w:tc>
        <w:tc>
          <w:tcPr>
            <w:tcW w:w="2434" w:type="pct"/>
            <w:shd w:val="clear" w:color="auto" w:fill="F2F2F2" w:themeFill="background1" w:themeFillShade="F2"/>
          </w:tcPr>
          <w:p w:rsidR="00653BB4" w:rsidRPr="00FD7BF0" w:rsidRDefault="00653BB4" w:rsidP="00653BB4">
            <w:pPr>
              <w:pStyle w:val="07BAFUTabellelinks"/>
            </w:pPr>
            <w:r>
              <w:t xml:space="preserve">Pour les milieux de culture, employer des bocaux d’aspiration </w:t>
            </w:r>
            <w:r w:rsidRPr="00FD7BF0">
              <w:t>(</w:t>
            </w:r>
            <w:r>
              <w:t xml:space="preserve">p. ex. de </w:t>
            </w:r>
            <w:smartTag w:uri="urn:schemas-microsoft-com:office:smarttags" w:element="metricconverter">
              <w:smartTagPr>
                <w:attr w:name="ProductID" w:val="2ﾠlitres"/>
              </w:smartTagPr>
              <w:r>
                <w:t>2 litres</w:t>
              </w:r>
            </w:smartTag>
            <w:proofErr w:type="gramStart"/>
            <w:r>
              <w:t>) ;</w:t>
            </w:r>
            <w:proofErr w:type="gramEnd"/>
            <w:r w:rsidRPr="00FD7BF0">
              <w:t xml:space="preserve"> </w:t>
            </w:r>
            <w:r>
              <w:t xml:space="preserve">les solutions pour perfusion sont collectées dans des bidons en plastique </w:t>
            </w:r>
            <w:r w:rsidRPr="00FD7BF0">
              <w:t>(</w:t>
            </w:r>
            <w:r>
              <w:t xml:space="preserve">p. ex. de </w:t>
            </w:r>
            <w:smartTag w:uri="urn:schemas-microsoft-com:office:smarttags" w:element="metricconverter">
              <w:smartTagPr>
                <w:attr w:name="ProductID" w:val="10 litres"/>
              </w:smartTagPr>
              <w:r>
                <w:t>1</w:t>
              </w:r>
              <w:r w:rsidRPr="00FD7BF0">
                <w:t xml:space="preserve">0 </w:t>
              </w:r>
              <w:r>
                <w:t>litres</w:t>
              </w:r>
            </w:smartTag>
            <w:r w:rsidRPr="00FD7BF0">
              <w:t>)</w:t>
            </w:r>
            <w:r>
              <w:t xml:space="preserve">. </w:t>
            </w:r>
            <w:r>
              <w:br/>
              <w:t xml:space="preserve">Les restes de milieux sont collectés après centrifugation </w:t>
            </w:r>
            <w:r w:rsidRPr="00FD7BF0">
              <w:t>(</w:t>
            </w:r>
            <w:r>
              <w:t xml:space="preserve">p. ex. dans des flacons de </w:t>
            </w:r>
            <w:smartTag w:uri="urn:schemas-microsoft-com:office:smarttags" w:element="metricconverter">
              <w:smartTagPr>
                <w:attr w:name="ProductID" w:val="1 litre"/>
              </w:smartTagPr>
              <w:r>
                <w:t>1 litre</w:t>
              </w:r>
            </w:smartTag>
            <w:r w:rsidRPr="00FD7BF0">
              <w:t>).</w:t>
            </w:r>
          </w:p>
        </w:tc>
        <w:tc>
          <w:tcPr>
            <w:tcW w:w="737" w:type="pct"/>
            <w:shd w:val="clear" w:color="auto" w:fill="F2F2F2" w:themeFill="background1" w:themeFillShade="F2"/>
          </w:tcPr>
          <w:p w:rsidR="00653BB4" w:rsidRPr="00FD7BF0" w:rsidRDefault="00653BB4" w:rsidP="00653BB4">
            <w:pPr>
              <w:pStyle w:val="07BAFUTabellelinks"/>
            </w:pPr>
          </w:p>
        </w:tc>
        <w:tc>
          <w:tcPr>
            <w:tcW w:w="291" w:type="pct"/>
            <w:shd w:val="clear" w:color="auto" w:fill="F2F2F2" w:themeFill="background1" w:themeFillShade="F2"/>
          </w:tcPr>
          <w:p w:rsidR="00653BB4" w:rsidRPr="00653BB4" w:rsidRDefault="00653BB4" w:rsidP="00653BB4">
            <w:pPr>
              <w:pStyle w:val="Tabelle"/>
              <w:spacing w:line="240" w:lineRule="exact"/>
              <w:rPr>
                <w:lang w:val="fr-CH"/>
              </w:rPr>
            </w:pPr>
          </w:p>
        </w:tc>
      </w:tr>
      <w:tr w:rsidR="00653BB4" w:rsidRPr="00653BB4" w:rsidTr="00C76B89">
        <w:trPr>
          <w:trHeight w:val="946"/>
        </w:trPr>
        <w:tc>
          <w:tcPr>
            <w:tcW w:w="297" w:type="pct"/>
            <w:textDirection w:val="btLr"/>
            <w:vAlign w:val="center"/>
          </w:tcPr>
          <w:p w:rsidR="00653BB4" w:rsidRPr="00D87649" w:rsidRDefault="00653BB4" w:rsidP="00653BB4">
            <w:pPr>
              <w:pStyle w:val="Tabelle"/>
              <w:spacing w:before="0" w:after="0" w:line="200" w:lineRule="exact"/>
              <w:ind w:left="0" w:right="0"/>
              <w:jc w:val="center"/>
              <w:rPr>
                <w:b/>
                <w:lang w:val="de-CH"/>
              </w:rPr>
            </w:pPr>
            <w:proofErr w:type="spellStart"/>
            <w:r w:rsidRPr="00D13A84">
              <w:rPr>
                <w:b/>
                <w:lang w:val="fr-FR"/>
              </w:rPr>
              <w:t>Marquag</w:t>
            </w:r>
            <w:proofErr w:type="spellEnd"/>
          </w:p>
        </w:tc>
        <w:tc>
          <w:tcPr>
            <w:tcW w:w="1241" w:type="pct"/>
          </w:tcPr>
          <w:p w:rsidR="00653BB4" w:rsidRPr="00FD7BF0" w:rsidRDefault="00653BB4" w:rsidP="00653BB4">
            <w:pPr>
              <w:pStyle w:val="07BAFUTabellelinks"/>
            </w:pPr>
            <w:r>
              <w:t>Marquage</w:t>
            </w:r>
            <w:r w:rsidRPr="00FD7BF0">
              <w:t xml:space="preserve"> </w:t>
            </w:r>
          </w:p>
        </w:tc>
        <w:tc>
          <w:tcPr>
            <w:tcW w:w="2434" w:type="pct"/>
          </w:tcPr>
          <w:p w:rsidR="00653BB4" w:rsidRPr="00FD7BF0" w:rsidRDefault="00653BB4" w:rsidP="00653BB4">
            <w:pPr>
              <w:pStyle w:val="07BAFUTabellelinks"/>
            </w:pPr>
            <w:r>
              <w:t>Avant l’inactivation, les flacons contenant des milieux de culture doivent être munis d’un indicateur ther</w:t>
            </w:r>
            <w:r w:rsidRPr="00FD7BF0">
              <w:t>m</w:t>
            </w:r>
            <w:r>
              <w:t xml:space="preserve">osensible. </w:t>
            </w:r>
          </w:p>
        </w:tc>
        <w:tc>
          <w:tcPr>
            <w:tcW w:w="737" w:type="pct"/>
          </w:tcPr>
          <w:p w:rsidR="00653BB4" w:rsidRPr="00FD7BF0" w:rsidRDefault="00653BB4" w:rsidP="00653BB4">
            <w:pPr>
              <w:pStyle w:val="07BAFUTabellelinks"/>
            </w:pPr>
          </w:p>
        </w:tc>
        <w:tc>
          <w:tcPr>
            <w:tcW w:w="291" w:type="pct"/>
          </w:tcPr>
          <w:p w:rsidR="00653BB4" w:rsidRPr="00653BB4" w:rsidRDefault="00653BB4" w:rsidP="00653BB4">
            <w:pPr>
              <w:pStyle w:val="Tabelle"/>
              <w:spacing w:line="240" w:lineRule="exact"/>
              <w:rPr>
                <w:lang w:val="fr-CH"/>
              </w:rPr>
            </w:pPr>
          </w:p>
        </w:tc>
      </w:tr>
      <w:tr w:rsidR="00653BB4" w:rsidRPr="00653BB4" w:rsidTr="00C76B89">
        <w:trPr>
          <w:trHeight w:val="689"/>
        </w:trPr>
        <w:tc>
          <w:tcPr>
            <w:tcW w:w="297" w:type="pct"/>
            <w:shd w:val="clear" w:color="auto" w:fill="D9D9D9" w:themeFill="background1" w:themeFillShade="D9"/>
            <w:textDirection w:val="btLr"/>
            <w:vAlign w:val="center"/>
          </w:tcPr>
          <w:p w:rsidR="00653BB4" w:rsidRPr="00D87649" w:rsidRDefault="00653BB4" w:rsidP="00653BB4">
            <w:pPr>
              <w:pStyle w:val="Tabelle"/>
              <w:spacing w:before="0" w:after="0" w:line="200" w:lineRule="exact"/>
              <w:ind w:left="0" w:right="0"/>
              <w:jc w:val="center"/>
              <w:rPr>
                <w:b/>
                <w:lang w:val="de-CH"/>
              </w:rPr>
            </w:pPr>
            <w:proofErr w:type="spellStart"/>
            <w:r w:rsidRPr="00D13A84">
              <w:rPr>
                <w:b/>
                <w:lang w:val="fr-FR"/>
              </w:rPr>
              <w:t>Entre-posage</w:t>
            </w:r>
            <w:proofErr w:type="spellEnd"/>
          </w:p>
        </w:tc>
        <w:tc>
          <w:tcPr>
            <w:tcW w:w="1241" w:type="pct"/>
            <w:shd w:val="clear" w:color="auto" w:fill="F2F2F2" w:themeFill="background1" w:themeFillShade="F2"/>
          </w:tcPr>
          <w:p w:rsidR="00653BB4" w:rsidRPr="00FD7BF0" w:rsidRDefault="00653BB4" w:rsidP="00653BB4">
            <w:pPr>
              <w:pStyle w:val="07BAFUTabellelinks"/>
            </w:pPr>
            <w:r>
              <w:t>Stockage intermédiaire au laboratoire</w:t>
            </w:r>
          </w:p>
        </w:tc>
        <w:tc>
          <w:tcPr>
            <w:tcW w:w="2434" w:type="pct"/>
            <w:shd w:val="clear" w:color="auto" w:fill="F2F2F2" w:themeFill="background1" w:themeFillShade="F2"/>
          </w:tcPr>
          <w:p w:rsidR="00653BB4" w:rsidRPr="00FD7BF0" w:rsidRDefault="00653BB4" w:rsidP="00653BB4">
            <w:pPr>
              <w:pStyle w:val="07BAFUTabellelinks"/>
            </w:pPr>
            <w:r>
              <w:t>Le stockage intermédiaire des milieux de culture de cellules et des solutions pour perfusion doit s’effectuer de manière sûre au laboratoire jusqu’à l’élimination finale</w:t>
            </w:r>
            <w:r w:rsidRPr="00FD7BF0">
              <w:t xml:space="preserve">. </w:t>
            </w:r>
          </w:p>
        </w:tc>
        <w:tc>
          <w:tcPr>
            <w:tcW w:w="737" w:type="pct"/>
            <w:shd w:val="clear" w:color="auto" w:fill="F2F2F2" w:themeFill="background1" w:themeFillShade="F2"/>
          </w:tcPr>
          <w:p w:rsidR="00653BB4" w:rsidRPr="00FD7BF0" w:rsidRDefault="00653BB4" w:rsidP="00653BB4">
            <w:pPr>
              <w:pStyle w:val="07BAFUTabellelinks"/>
            </w:pPr>
          </w:p>
        </w:tc>
        <w:tc>
          <w:tcPr>
            <w:tcW w:w="291" w:type="pct"/>
            <w:shd w:val="clear" w:color="auto" w:fill="F2F2F2" w:themeFill="background1" w:themeFillShade="F2"/>
          </w:tcPr>
          <w:p w:rsidR="00653BB4" w:rsidRPr="00653BB4" w:rsidRDefault="00653BB4" w:rsidP="00653BB4">
            <w:pPr>
              <w:pStyle w:val="Tabelle"/>
              <w:spacing w:line="240" w:lineRule="exact"/>
              <w:rPr>
                <w:lang w:val="fr-CH"/>
              </w:rPr>
            </w:pPr>
          </w:p>
        </w:tc>
      </w:tr>
      <w:tr w:rsidR="00653BB4" w:rsidRPr="00653BB4" w:rsidTr="00C76B89">
        <w:trPr>
          <w:trHeight w:val="1028"/>
        </w:trPr>
        <w:tc>
          <w:tcPr>
            <w:tcW w:w="297" w:type="pct"/>
            <w:textDirection w:val="btLr"/>
            <w:vAlign w:val="center"/>
          </w:tcPr>
          <w:p w:rsidR="00653BB4" w:rsidRPr="00D87649" w:rsidRDefault="00653BB4" w:rsidP="00653BB4">
            <w:pPr>
              <w:pStyle w:val="Tabelle"/>
              <w:spacing w:before="0" w:after="0" w:line="200" w:lineRule="exact"/>
              <w:ind w:left="0" w:right="0"/>
              <w:jc w:val="center"/>
              <w:rPr>
                <w:b/>
                <w:lang w:val="de-CH"/>
              </w:rPr>
            </w:pPr>
            <w:r w:rsidRPr="00D13A84">
              <w:rPr>
                <w:b/>
                <w:lang w:val="fr-FR"/>
              </w:rPr>
              <w:t>Inactivation</w:t>
            </w:r>
          </w:p>
        </w:tc>
        <w:tc>
          <w:tcPr>
            <w:tcW w:w="1241" w:type="pct"/>
          </w:tcPr>
          <w:p w:rsidR="00653BB4" w:rsidRPr="00FD7BF0" w:rsidRDefault="00653BB4" w:rsidP="00653BB4">
            <w:pPr>
              <w:pStyle w:val="07BAFUTabellelinks"/>
            </w:pPr>
            <w:r>
              <w:t>Inactivation chimique sur place (au laboratoire)</w:t>
            </w:r>
          </w:p>
        </w:tc>
        <w:tc>
          <w:tcPr>
            <w:tcW w:w="2434" w:type="pct"/>
          </w:tcPr>
          <w:p w:rsidR="00653BB4" w:rsidRPr="00FD7BF0" w:rsidRDefault="00653BB4" w:rsidP="00653BB4">
            <w:pPr>
              <w:pStyle w:val="07BAFUTabellelinks"/>
            </w:pPr>
            <w:r>
              <w:t>Les déchets de cultures de cellules doivent être inactivés sur place à l’aide d’un produit de désinfection approprié</w:t>
            </w:r>
            <w:r w:rsidRPr="00FD7BF0">
              <w:t xml:space="preserve"> (</w:t>
            </w:r>
            <w:r>
              <w:t>introduit au préalable dans les bocaux d’aspiration)</w:t>
            </w:r>
            <w:r w:rsidRPr="00FD7BF0">
              <w:t xml:space="preserve">. </w:t>
            </w:r>
          </w:p>
        </w:tc>
        <w:tc>
          <w:tcPr>
            <w:tcW w:w="737" w:type="pct"/>
          </w:tcPr>
          <w:p w:rsidR="00653BB4" w:rsidRPr="00FD7BF0" w:rsidRDefault="00653BB4" w:rsidP="00653BB4">
            <w:pPr>
              <w:pStyle w:val="07BAFUTabellelinks"/>
            </w:pPr>
          </w:p>
        </w:tc>
        <w:tc>
          <w:tcPr>
            <w:tcW w:w="291" w:type="pct"/>
          </w:tcPr>
          <w:p w:rsidR="00653BB4" w:rsidRPr="00653BB4" w:rsidRDefault="00653BB4" w:rsidP="00653BB4">
            <w:pPr>
              <w:pStyle w:val="Tabelle"/>
              <w:spacing w:line="240" w:lineRule="exact"/>
              <w:rPr>
                <w:lang w:val="fr-CH"/>
              </w:rPr>
            </w:pPr>
          </w:p>
        </w:tc>
      </w:tr>
      <w:tr w:rsidR="00653BB4" w:rsidRPr="00653BB4" w:rsidTr="00C76B89">
        <w:trPr>
          <w:trHeight w:val="683"/>
        </w:trPr>
        <w:tc>
          <w:tcPr>
            <w:tcW w:w="297" w:type="pct"/>
            <w:shd w:val="clear" w:color="auto" w:fill="D9D9D9" w:themeFill="background1" w:themeFillShade="D9"/>
            <w:textDirection w:val="btLr"/>
            <w:vAlign w:val="center"/>
          </w:tcPr>
          <w:p w:rsidR="00653BB4" w:rsidRPr="00D87649" w:rsidRDefault="00653BB4" w:rsidP="00653BB4">
            <w:pPr>
              <w:pStyle w:val="Tabelle"/>
              <w:spacing w:before="0" w:after="0" w:line="200" w:lineRule="exact"/>
              <w:ind w:left="0" w:right="0"/>
              <w:jc w:val="center"/>
              <w:rPr>
                <w:b/>
                <w:lang w:val="de-CH"/>
              </w:rPr>
            </w:pPr>
            <w:proofErr w:type="spellStart"/>
            <w:r w:rsidRPr="00D13A84">
              <w:rPr>
                <w:b/>
                <w:lang w:val="fr-FR"/>
              </w:rPr>
              <w:t>Trans-port</w:t>
            </w:r>
            <w:proofErr w:type="spellEnd"/>
          </w:p>
        </w:tc>
        <w:tc>
          <w:tcPr>
            <w:tcW w:w="1241" w:type="pct"/>
            <w:shd w:val="clear" w:color="auto" w:fill="F2F2F2" w:themeFill="background1" w:themeFillShade="F2"/>
          </w:tcPr>
          <w:p w:rsidR="00653BB4" w:rsidRPr="00FD7BF0" w:rsidRDefault="00653BB4" w:rsidP="00653BB4">
            <w:pPr>
              <w:pStyle w:val="07BAFUTabellelinks"/>
            </w:pPr>
            <w:r w:rsidRPr="00FD7BF0">
              <w:t xml:space="preserve">Transport </w:t>
            </w:r>
            <w:r>
              <w:t>jusqu’au lieu de traitement</w:t>
            </w:r>
          </w:p>
        </w:tc>
        <w:tc>
          <w:tcPr>
            <w:tcW w:w="2434" w:type="pct"/>
            <w:shd w:val="clear" w:color="auto" w:fill="F2F2F2" w:themeFill="background1" w:themeFillShade="F2"/>
          </w:tcPr>
          <w:p w:rsidR="00653BB4" w:rsidRPr="00FD7BF0" w:rsidRDefault="00653BB4" w:rsidP="00653BB4">
            <w:pPr>
              <w:pStyle w:val="07BAFUTabellelinks"/>
            </w:pPr>
            <w:r>
              <w:t>Les déchets doivent être acheminés par</w:t>
            </w:r>
            <w:r w:rsidRPr="00FD7BF0">
              <w:t xml:space="preserve"> </w:t>
            </w:r>
            <w:r>
              <w:t xml:space="preserve">le chemin le plus direct jusqu’à l’autoclave, et le matériel doit être inactivé </w:t>
            </w:r>
            <w:r>
              <w:rPr>
                <w:b/>
              </w:rPr>
              <w:t>immédiatement,</w:t>
            </w:r>
            <w:r w:rsidRPr="00FD7BF0">
              <w:t xml:space="preserve"> </w:t>
            </w:r>
            <w:r>
              <w:t>sans stockage intermédiaire supplémentaire</w:t>
            </w:r>
            <w:r w:rsidRPr="00FD7BF0">
              <w:t>.</w:t>
            </w:r>
          </w:p>
        </w:tc>
        <w:tc>
          <w:tcPr>
            <w:tcW w:w="737" w:type="pct"/>
            <w:shd w:val="clear" w:color="auto" w:fill="F2F2F2" w:themeFill="background1" w:themeFillShade="F2"/>
          </w:tcPr>
          <w:p w:rsidR="00653BB4" w:rsidRPr="00FD7BF0" w:rsidRDefault="00653BB4" w:rsidP="00653BB4">
            <w:pPr>
              <w:pStyle w:val="07BAFUTabellelinks"/>
            </w:pPr>
          </w:p>
        </w:tc>
        <w:tc>
          <w:tcPr>
            <w:tcW w:w="291" w:type="pct"/>
            <w:shd w:val="clear" w:color="auto" w:fill="F2F2F2" w:themeFill="background1" w:themeFillShade="F2"/>
          </w:tcPr>
          <w:p w:rsidR="00653BB4" w:rsidRPr="00653BB4" w:rsidRDefault="00653BB4" w:rsidP="00653BB4">
            <w:pPr>
              <w:pStyle w:val="Tabelle"/>
              <w:spacing w:line="240" w:lineRule="exact"/>
              <w:rPr>
                <w:lang w:val="fr-CH"/>
              </w:rPr>
            </w:pPr>
          </w:p>
        </w:tc>
      </w:tr>
      <w:tr w:rsidR="00653BB4" w:rsidRPr="00653BB4" w:rsidTr="00C76B89">
        <w:trPr>
          <w:trHeight w:val="20"/>
        </w:trPr>
        <w:tc>
          <w:tcPr>
            <w:tcW w:w="297" w:type="pct"/>
            <w:vMerge w:val="restart"/>
            <w:textDirection w:val="btLr"/>
            <w:vAlign w:val="center"/>
          </w:tcPr>
          <w:p w:rsidR="00653BB4" w:rsidRPr="00D87649" w:rsidRDefault="00653BB4" w:rsidP="00653BB4">
            <w:pPr>
              <w:pStyle w:val="Tabelle"/>
              <w:spacing w:before="0" w:after="0" w:line="200" w:lineRule="exact"/>
              <w:ind w:left="0" w:right="0"/>
              <w:jc w:val="center"/>
              <w:rPr>
                <w:b/>
                <w:lang w:val="de-CH"/>
              </w:rPr>
            </w:pPr>
            <w:r w:rsidRPr="00D13A84">
              <w:rPr>
                <w:b/>
                <w:lang w:val="fr-FR"/>
              </w:rPr>
              <w:t>Inactivation</w:t>
            </w:r>
          </w:p>
        </w:tc>
        <w:tc>
          <w:tcPr>
            <w:tcW w:w="1241" w:type="pct"/>
          </w:tcPr>
          <w:p w:rsidR="00653BB4" w:rsidRPr="00FD7BF0" w:rsidRDefault="00653BB4" w:rsidP="00653BB4">
            <w:pPr>
              <w:pStyle w:val="07BAFUTabellelinks"/>
            </w:pPr>
            <w:r>
              <w:t>Chargement de l’autoclave</w:t>
            </w:r>
          </w:p>
        </w:tc>
        <w:tc>
          <w:tcPr>
            <w:tcW w:w="2434" w:type="pct"/>
          </w:tcPr>
          <w:p w:rsidR="00653BB4" w:rsidRPr="00FD7BF0" w:rsidRDefault="00653BB4" w:rsidP="00653BB4">
            <w:pPr>
              <w:pStyle w:val="07BAFUTabellelinks"/>
            </w:pPr>
            <w:r>
              <w:t>L’autoclave doit être chargée et mise en service par du personnel compétent (choisir un programme spécial pour les liquides)</w:t>
            </w:r>
            <w:r w:rsidRPr="00FD7BF0">
              <w:t>.</w:t>
            </w:r>
          </w:p>
        </w:tc>
        <w:tc>
          <w:tcPr>
            <w:tcW w:w="737" w:type="pct"/>
          </w:tcPr>
          <w:p w:rsidR="00653BB4" w:rsidRPr="00FD7BF0" w:rsidRDefault="00653BB4" w:rsidP="00653BB4">
            <w:pPr>
              <w:pStyle w:val="07BAFUTabellelinks"/>
            </w:pPr>
          </w:p>
        </w:tc>
        <w:tc>
          <w:tcPr>
            <w:tcW w:w="291" w:type="pct"/>
          </w:tcPr>
          <w:p w:rsidR="00653BB4" w:rsidRPr="00653BB4" w:rsidRDefault="00653BB4" w:rsidP="00653BB4">
            <w:pPr>
              <w:pStyle w:val="Tabelle"/>
              <w:spacing w:line="240" w:lineRule="exact"/>
              <w:rPr>
                <w:lang w:val="fr-CH"/>
              </w:rPr>
            </w:pPr>
          </w:p>
        </w:tc>
      </w:tr>
      <w:tr w:rsidR="00653BB4" w:rsidRPr="00653BB4" w:rsidTr="00C76B89">
        <w:trPr>
          <w:trHeight w:val="20"/>
        </w:trPr>
        <w:tc>
          <w:tcPr>
            <w:tcW w:w="297" w:type="pct"/>
            <w:vMerge/>
            <w:textDirection w:val="btLr"/>
            <w:vAlign w:val="center"/>
          </w:tcPr>
          <w:p w:rsidR="00653BB4" w:rsidRPr="00653BB4" w:rsidRDefault="00653BB4" w:rsidP="00653BB4">
            <w:pPr>
              <w:pStyle w:val="Tabelle"/>
              <w:spacing w:before="0" w:after="0" w:line="200" w:lineRule="exact"/>
              <w:ind w:left="0" w:right="0"/>
              <w:jc w:val="center"/>
              <w:rPr>
                <w:b/>
                <w:lang w:val="fr-CH"/>
              </w:rPr>
            </w:pPr>
          </w:p>
        </w:tc>
        <w:tc>
          <w:tcPr>
            <w:tcW w:w="1241" w:type="pct"/>
          </w:tcPr>
          <w:p w:rsidR="00653BB4" w:rsidRPr="00FD7BF0" w:rsidRDefault="00653BB4" w:rsidP="00653BB4">
            <w:pPr>
              <w:pStyle w:val="07BAFUTabellelinks"/>
            </w:pPr>
            <w:proofErr w:type="spellStart"/>
            <w:r>
              <w:t>C</w:t>
            </w:r>
            <w:r w:rsidRPr="00FD7BF0">
              <w:t>ontr</w:t>
            </w:r>
            <w:r>
              <w:t>ôle</w:t>
            </w:r>
            <w:proofErr w:type="spellEnd"/>
            <w:r>
              <w:t xml:space="preserve"> de </w:t>
            </w:r>
            <w:proofErr w:type="spellStart"/>
            <w:r>
              <w:t>l’inactivation</w:t>
            </w:r>
            <w:proofErr w:type="spellEnd"/>
          </w:p>
        </w:tc>
        <w:tc>
          <w:tcPr>
            <w:tcW w:w="2434" w:type="pct"/>
          </w:tcPr>
          <w:p w:rsidR="00653BB4" w:rsidRPr="00FD7BF0" w:rsidRDefault="00653BB4" w:rsidP="00653BB4">
            <w:pPr>
              <w:pStyle w:val="07BAFUTabellelinks"/>
            </w:pPr>
            <w:r>
              <w:t>Les protocoles d’autoclavage doivent être rassemblés et archivés</w:t>
            </w:r>
            <w:r w:rsidRPr="00FD7BF0">
              <w:t>.</w:t>
            </w:r>
          </w:p>
        </w:tc>
        <w:tc>
          <w:tcPr>
            <w:tcW w:w="737" w:type="pct"/>
          </w:tcPr>
          <w:p w:rsidR="00653BB4" w:rsidRPr="00FD7BF0" w:rsidRDefault="00653BB4" w:rsidP="00653BB4">
            <w:pPr>
              <w:pStyle w:val="07BAFUTabellelinks"/>
            </w:pPr>
          </w:p>
        </w:tc>
        <w:tc>
          <w:tcPr>
            <w:tcW w:w="291" w:type="pct"/>
          </w:tcPr>
          <w:p w:rsidR="00653BB4" w:rsidRPr="00653BB4" w:rsidRDefault="00653BB4" w:rsidP="00653BB4">
            <w:pPr>
              <w:pStyle w:val="Tabelle"/>
              <w:spacing w:line="240" w:lineRule="exact"/>
              <w:rPr>
                <w:lang w:val="fr-CH"/>
              </w:rPr>
            </w:pPr>
          </w:p>
        </w:tc>
      </w:tr>
      <w:tr w:rsidR="00653BB4" w:rsidRPr="00653BB4" w:rsidTr="00C76B89">
        <w:trPr>
          <w:trHeight w:val="20"/>
        </w:trPr>
        <w:tc>
          <w:tcPr>
            <w:tcW w:w="297" w:type="pct"/>
            <w:vMerge/>
            <w:textDirection w:val="btLr"/>
            <w:vAlign w:val="center"/>
          </w:tcPr>
          <w:p w:rsidR="00653BB4" w:rsidRPr="00653BB4" w:rsidRDefault="00653BB4" w:rsidP="00653BB4">
            <w:pPr>
              <w:pStyle w:val="Tabelle"/>
              <w:spacing w:before="0" w:after="0" w:line="200" w:lineRule="exact"/>
              <w:ind w:left="0" w:right="0"/>
              <w:jc w:val="center"/>
              <w:rPr>
                <w:b/>
                <w:lang w:val="fr-CH"/>
              </w:rPr>
            </w:pPr>
          </w:p>
        </w:tc>
        <w:tc>
          <w:tcPr>
            <w:tcW w:w="1241" w:type="pct"/>
          </w:tcPr>
          <w:p w:rsidR="00653BB4" w:rsidRPr="00FD7BF0" w:rsidRDefault="00653BB4" w:rsidP="00653BB4">
            <w:pPr>
              <w:pStyle w:val="07BAFUTabellelinks"/>
            </w:pPr>
            <w:proofErr w:type="spellStart"/>
            <w:r>
              <w:t>Entretien</w:t>
            </w:r>
            <w:proofErr w:type="spellEnd"/>
            <w:r>
              <w:t xml:space="preserve"> de </w:t>
            </w:r>
            <w:proofErr w:type="spellStart"/>
            <w:r>
              <w:t>l’autoclave</w:t>
            </w:r>
            <w:proofErr w:type="spellEnd"/>
            <w:r w:rsidRPr="00FD7BF0">
              <w:t xml:space="preserve"> </w:t>
            </w:r>
          </w:p>
        </w:tc>
        <w:tc>
          <w:tcPr>
            <w:tcW w:w="2434" w:type="pct"/>
          </w:tcPr>
          <w:p w:rsidR="00653BB4" w:rsidRPr="00FD7BF0" w:rsidRDefault="00653BB4" w:rsidP="00653BB4">
            <w:pPr>
              <w:pStyle w:val="07BAFUTabellelinks"/>
            </w:pPr>
            <w:r>
              <w:t>L’autoclave doit être entretenu conformément au plan de maintenance</w:t>
            </w:r>
            <w:r w:rsidRPr="00FD7BF0">
              <w:t>.</w:t>
            </w:r>
          </w:p>
        </w:tc>
        <w:tc>
          <w:tcPr>
            <w:tcW w:w="737" w:type="pct"/>
          </w:tcPr>
          <w:p w:rsidR="00653BB4" w:rsidRPr="00FD7BF0" w:rsidRDefault="00653BB4" w:rsidP="00653BB4">
            <w:pPr>
              <w:pStyle w:val="07BAFUTabellelinks"/>
            </w:pPr>
            <w:r>
              <w:t>Au moins une fois par an</w:t>
            </w:r>
          </w:p>
        </w:tc>
        <w:tc>
          <w:tcPr>
            <w:tcW w:w="291" w:type="pct"/>
          </w:tcPr>
          <w:p w:rsidR="00653BB4" w:rsidRPr="00653BB4" w:rsidRDefault="00653BB4" w:rsidP="00653BB4">
            <w:pPr>
              <w:pStyle w:val="Tabelle"/>
              <w:spacing w:line="240" w:lineRule="exact"/>
              <w:rPr>
                <w:lang w:val="fr-CH"/>
              </w:rPr>
            </w:pPr>
          </w:p>
        </w:tc>
      </w:tr>
      <w:tr w:rsidR="00653BB4" w:rsidRPr="00FD582F" w:rsidTr="00C76B89">
        <w:trPr>
          <w:trHeight w:val="909"/>
        </w:trPr>
        <w:tc>
          <w:tcPr>
            <w:tcW w:w="297" w:type="pct"/>
            <w:shd w:val="clear" w:color="auto" w:fill="D9D9D9" w:themeFill="background1" w:themeFillShade="D9"/>
            <w:textDirection w:val="btLr"/>
            <w:vAlign w:val="center"/>
          </w:tcPr>
          <w:p w:rsidR="00653BB4" w:rsidRPr="00D87649" w:rsidRDefault="00653BB4" w:rsidP="00653BB4">
            <w:pPr>
              <w:pStyle w:val="Tabelle"/>
              <w:spacing w:before="0" w:after="0" w:line="200" w:lineRule="exact"/>
              <w:ind w:left="0" w:right="0"/>
              <w:jc w:val="center"/>
              <w:rPr>
                <w:b/>
                <w:lang w:val="de-CH"/>
              </w:rPr>
            </w:pPr>
            <w:proofErr w:type="spellStart"/>
            <w:r w:rsidRPr="00D13A84">
              <w:rPr>
                <w:b/>
                <w:lang w:val="fr-FR"/>
              </w:rPr>
              <w:t>Élimina-tion</w:t>
            </w:r>
            <w:proofErr w:type="spellEnd"/>
          </w:p>
        </w:tc>
        <w:tc>
          <w:tcPr>
            <w:tcW w:w="1241" w:type="pct"/>
            <w:shd w:val="clear" w:color="auto" w:fill="F2F2F2" w:themeFill="background1" w:themeFillShade="F2"/>
          </w:tcPr>
          <w:p w:rsidR="00653BB4" w:rsidRPr="00FD7BF0" w:rsidRDefault="00653BB4" w:rsidP="00653BB4">
            <w:pPr>
              <w:pStyle w:val="07BAFUTabellelinks"/>
            </w:pPr>
            <w:r>
              <w:t>Élimination des déchets inactivés</w:t>
            </w:r>
          </w:p>
        </w:tc>
        <w:tc>
          <w:tcPr>
            <w:tcW w:w="2434" w:type="pct"/>
            <w:shd w:val="clear" w:color="auto" w:fill="F2F2F2" w:themeFill="background1" w:themeFillShade="F2"/>
          </w:tcPr>
          <w:p w:rsidR="00653BB4" w:rsidRPr="00FD7BF0" w:rsidRDefault="00653BB4" w:rsidP="00653BB4">
            <w:pPr>
              <w:pStyle w:val="07BAFUTabellelinks"/>
            </w:pPr>
            <w:r>
              <w:t>Les déchets liquides inactivés doivent être éliminés dans les eaux usées du bâtiment en respectant la législation sur la protection des eaux</w:t>
            </w:r>
            <w:r w:rsidRPr="00FD7BF0">
              <w:t>.</w:t>
            </w:r>
          </w:p>
        </w:tc>
        <w:tc>
          <w:tcPr>
            <w:tcW w:w="737" w:type="pct"/>
            <w:shd w:val="clear" w:color="auto" w:fill="F2F2F2" w:themeFill="background1" w:themeFillShade="F2"/>
          </w:tcPr>
          <w:p w:rsidR="00653BB4" w:rsidRPr="00FD7BF0" w:rsidRDefault="00653BB4" w:rsidP="00653BB4">
            <w:pPr>
              <w:pStyle w:val="07BAFUTabellelinks"/>
            </w:pPr>
            <w:r>
              <w:t>Une fois par semaine</w:t>
            </w:r>
          </w:p>
        </w:tc>
        <w:tc>
          <w:tcPr>
            <w:tcW w:w="291" w:type="pct"/>
            <w:shd w:val="clear" w:color="auto" w:fill="F2F2F2" w:themeFill="background1" w:themeFillShade="F2"/>
          </w:tcPr>
          <w:p w:rsidR="00653BB4" w:rsidRPr="00D87649" w:rsidRDefault="00653BB4" w:rsidP="00653BB4">
            <w:pPr>
              <w:pStyle w:val="Tabelle"/>
              <w:spacing w:line="240" w:lineRule="exact"/>
              <w:rPr>
                <w:lang w:val="de-CH"/>
              </w:rPr>
            </w:pPr>
          </w:p>
        </w:tc>
      </w:tr>
    </w:tbl>
    <w:p w:rsidR="00C76B89" w:rsidRPr="00852AF0" w:rsidRDefault="00C76B89" w:rsidP="00C76B89">
      <w:pPr>
        <w:pStyle w:val="03BAFUUntertitel"/>
        <w:ind w:left="392" w:hanging="392"/>
        <w:rPr>
          <w:rStyle w:val="05BAFUGrundschriftkursiv"/>
        </w:rPr>
      </w:pPr>
      <w:r>
        <w:rPr>
          <w:rStyle w:val="05BAFUGrundschriftkursiv"/>
          <w:b w:val="0"/>
          <w:i w:val="0"/>
        </w:rPr>
        <w:br/>
      </w:r>
    </w:p>
    <w:p w:rsidR="00423618" w:rsidRPr="0088219E" w:rsidRDefault="00423618" w:rsidP="0088219E">
      <w:pPr>
        <w:rPr>
          <w:rFonts w:ascii="Arial" w:hAnsi="Arial" w:cs="Arial"/>
          <w:noProof/>
          <w:sz w:val="20"/>
          <w:szCs w:val="20"/>
          <w:lang w:eastAsia="de-CH"/>
        </w:rPr>
        <w:sectPr w:rsidR="00423618" w:rsidRPr="0088219E" w:rsidSect="001C0228">
          <w:headerReference w:type="default" r:id="rId9"/>
          <w:pgSz w:w="16838" w:h="11906" w:orient="landscape" w:code="9"/>
          <w:pgMar w:top="426" w:right="852" w:bottom="1021" w:left="794" w:header="567" w:footer="0" w:gutter="0"/>
          <w:cols w:space="708"/>
          <w:titlePg/>
          <w:docGrid w:linePitch="360"/>
        </w:sectPr>
      </w:pPr>
    </w:p>
    <w:p w:rsidR="0088219E" w:rsidRDefault="00C951A6" w:rsidP="00C951A6">
      <w:pPr>
        <w:pStyle w:val="02BAFUTitelnummeriert"/>
      </w:pPr>
      <w:proofErr w:type="spellStart"/>
      <w:r w:rsidRPr="00C951A6">
        <w:lastRenderedPageBreak/>
        <w:t>Élimination</w:t>
      </w:r>
      <w:proofErr w:type="spellEnd"/>
      <w:r w:rsidRPr="00C951A6">
        <w:t xml:space="preserve"> des </w:t>
      </w:r>
      <w:proofErr w:type="spellStart"/>
      <w:r w:rsidRPr="00C951A6">
        <w:t>déchets</w:t>
      </w:r>
      <w:proofErr w:type="spellEnd"/>
      <w:r w:rsidRPr="00C951A6">
        <w:t xml:space="preserve"> </w:t>
      </w:r>
      <w:proofErr w:type="spellStart"/>
      <w:r w:rsidRPr="00C951A6">
        <w:t>d’aspect</w:t>
      </w:r>
      <w:proofErr w:type="spellEnd"/>
      <w:r w:rsidRPr="00C951A6">
        <w:t xml:space="preserve"> </w:t>
      </w:r>
      <w:proofErr w:type="spellStart"/>
      <w:r w:rsidRPr="00C951A6">
        <w:t>répugnant</w:t>
      </w:r>
      <w:proofErr w:type="spellEnd"/>
      <w:r w:rsidRPr="00C951A6">
        <w:t xml:space="preserve"> </w:t>
      </w:r>
      <w:proofErr w:type="spellStart"/>
      <w:r w:rsidRPr="00C951A6">
        <w:t>ou</w:t>
      </w:r>
      <w:proofErr w:type="spellEnd"/>
      <w:r w:rsidRPr="00C951A6">
        <w:t xml:space="preserve"> </w:t>
      </w:r>
      <w:proofErr w:type="spellStart"/>
      <w:r w:rsidRPr="00C951A6">
        <w:t>dégageant</w:t>
      </w:r>
      <w:proofErr w:type="spellEnd"/>
      <w:r w:rsidRPr="00C951A6">
        <w:t xml:space="preserve"> </w:t>
      </w:r>
      <w:proofErr w:type="spellStart"/>
      <w:r w:rsidRPr="00C951A6">
        <w:t>une</w:t>
      </w:r>
      <w:proofErr w:type="spellEnd"/>
      <w:r w:rsidRPr="00C951A6">
        <w:t xml:space="preserve"> forte </w:t>
      </w:r>
      <w:proofErr w:type="spellStart"/>
      <w:r w:rsidRPr="00C951A6">
        <w:t>odeur</w:t>
      </w:r>
      <w:proofErr w:type="spellEnd"/>
      <w:r w:rsidRPr="00C951A6">
        <w:rPr>
          <w:vertAlign w:val="superscript"/>
          <w:lang w:val="fr-FR"/>
        </w:rPr>
        <w:footnoteReference w:id="1"/>
      </w:r>
    </w:p>
    <w:p w:rsidR="000307C7" w:rsidRPr="00FD7BF0" w:rsidRDefault="000307C7" w:rsidP="000307C7">
      <w:pPr>
        <w:pStyle w:val="05BAFUGrundschrift"/>
        <w:rPr>
          <w:lang w:val="fr-FR"/>
        </w:rPr>
      </w:pPr>
      <w:r>
        <w:rPr>
          <w:lang w:val="fr-FR"/>
        </w:rPr>
        <w:t xml:space="preserve">Les déchets d’aspect répugnant ou dégageant une forte odeur </w:t>
      </w:r>
      <w:r w:rsidRPr="00FD7BF0">
        <w:rPr>
          <w:lang w:val="fr-FR"/>
        </w:rPr>
        <w:t>(</w:t>
      </w:r>
      <w:r>
        <w:rPr>
          <w:lang w:val="fr-FR"/>
        </w:rPr>
        <w:t>déchets contenant du sang</w:t>
      </w:r>
      <w:r w:rsidRPr="00FD7BF0">
        <w:rPr>
          <w:lang w:val="fr-FR"/>
        </w:rPr>
        <w:t xml:space="preserve">, etc.) </w:t>
      </w:r>
      <w:r>
        <w:rPr>
          <w:lang w:val="fr-FR"/>
        </w:rPr>
        <w:t>sont éliminés en tant que déchets spéciaux selon</w:t>
      </w:r>
      <w:r w:rsidRPr="007C360B">
        <w:rPr>
          <w:lang w:val="fr-FR"/>
        </w:rPr>
        <w:t xml:space="preserve"> l’</w:t>
      </w:r>
      <w:proofErr w:type="spellStart"/>
      <w:r w:rsidRPr="007C360B">
        <w:rPr>
          <w:szCs w:val="22"/>
          <w:lang w:val="fr-FR"/>
        </w:rPr>
        <w:t>OMoD</w:t>
      </w:r>
      <w:proofErr w:type="spellEnd"/>
      <w:r w:rsidRPr="00FD7BF0">
        <w:rPr>
          <w:lang w:val="fr-FR"/>
        </w:rPr>
        <w:t>.</w:t>
      </w:r>
      <w:r w:rsidRPr="00FD7BF0">
        <w:rPr>
          <w:rStyle w:val="Funotenzeichen"/>
          <w:lang w:val="fr-FR"/>
        </w:rPr>
        <w:footnoteReference w:id="2"/>
      </w:r>
      <w:r w:rsidRPr="00FD7BF0">
        <w:rPr>
          <w:lang w:val="fr-FR"/>
        </w:rPr>
        <w:t xml:space="preserve"> </w:t>
      </w:r>
      <w:r>
        <w:rPr>
          <w:lang w:val="fr-FR"/>
        </w:rPr>
        <w:t>Les déchets infectieux sont au préalable inactivés</w:t>
      </w:r>
      <w:r w:rsidRPr="00FD7BF0">
        <w:rPr>
          <w:lang w:val="fr-FR"/>
        </w:rPr>
        <w:t>.</w:t>
      </w:r>
    </w:p>
    <w:p w:rsidR="000307C7" w:rsidRPr="000307C7" w:rsidRDefault="000307C7" w:rsidP="000307C7">
      <w:pPr>
        <w:pStyle w:val="06BAFULegendeTitel"/>
        <w:rPr>
          <w:lang w:val="fr-FR"/>
        </w:rPr>
      </w:pPr>
      <w:r w:rsidRPr="000307C7">
        <w:rPr>
          <w:lang w:val="fr-FR"/>
        </w:rPr>
        <w:t xml:space="preserve">Codage en tant que déchets spéciaux selon </w:t>
      </w:r>
      <w:proofErr w:type="spellStart"/>
      <w:r w:rsidRPr="000307C7">
        <w:rPr>
          <w:lang w:val="fr-FR"/>
        </w:rPr>
        <w:t>OMoD</w:t>
      </w:r>
      <w:proofErr w:type="spellEnd"/>
      <w:r w:rsidRPr="000307C7">
        <w:rPr>
          <w:vertAlign w:val="superscript"/>
          <w:lang w:val="fr-FR"/>
        </w:rPr>
        <w:footnoteReference w:id="3"/>
      </w:r>
      <w:r w:rsidRPr="000307C7">
        <w:rPr>
          <w:lang w:val="fr-FR"/>
        </w:rPr>
        <w:t> :</w:t>
      </w:r>
    </w:p>
    <w:tbl>
      <w:tblPr>
        <w:tblW w:w="9776" w:type="dxa"/>
        <w:tblInd w:w="-5" w:type="dxa"/>
        <w:tblLayout w:type="fixed"/>
        <w:tblLook w:val="01E0" w:firstRow="1" w:lastRow="1" w:firstColumn="1" w:lastColumn="1" w:noHBand="0" w:noVBand="0"/>
      </w:tblPr>
      <w:tblGrid>
        <w:gridCol w:w="1530"/>
        <w:gridCol w:w="8246"/>
      </w:tblGrid>
      <w:tr w:rsidR="0088219E" w:rsidRPr="0088219E" w:rsidTr="003F215E">
        <w:tc>
          <w:tcPr>
            <w:tcW w:w="1530" w:type="dxa"/>
            <w:tcBorders>
              <w:top w:val="single" w:sz="4" w:space="0" w:color="000000" w:themeColor="text1"/>
            </w:tcBorders>
            <w:shd w:val="clear" w:color="auto" w:fill="auto"/>
          </w:tcPr>
          <w:p w:rsidR="0088219E" w:rsidRPr="0088219E" w:rsidRDefault="000307C7" w:rsidP="006E0165">
            <w:pPr>
              <w:pStyle w:val="Tabelle"/>
              <w:overflowPunct w:val="0"/>
              <w:autoSpaceDE w:val="0"/>
              <w:autoSpaceDN w:val="0"/>
              <w:adjustRightInd w:val="0"/>
              <w:jc w:val="both"/>
              <w:textAlignment w:val="baseline"/>
              <w:rPr>
                <w:b/>
                <w:sz w:val="16"/>
                <w:szCs w:val="16"/>
                <w:lang w:val="de-CH"/>
              </w:rPr>
            </w:pPr>
            <w:r w:rsidRPr="000307C7">
              <w:rPr>
                <w:b/>
                <w:sz w:val="16"/>
                <w:szCs w:val="16"/>
                <w:lang w:val="fr-FR"/>
              </w:rPr>
              <w:t>Code LMD</w:t>
            </w:r>
            <w:r w:rsidRPr="000307C7">
              <w:rPr>
                <w:b/>
                <w:sz w:val="16"/>
                <w:szCs w:val="16"/>
                <w:vertAlign w:val="superscript"/>
                <w:lang w:val="fr-FR"/>
              </w:rPr>
              <w:t>1</w:t>
            </w:r>
          </w:p>
        </w:tc>
        <w:tc>
          <w:tcPr>
            <w:tcW w:w="8246" w:type="dxa"/>
            <w:tcBorders>
              <w:top w:val="single" w:sz="4" w:space="0" w:color="000000" w:themeColor="text1"/>
            </w:tcBorders>
            <w:shd w:val="clear" w:color="auto" w:fill="auto"/>
          </w:tcPr>
          <w:p w:rsidR="0088219E" w:rsidRPr="0088219E" w:rsidRDefault="00707EDE" w:rsidP="006E0165">
            <w:pPr>
              <w:pStyle w:val="Tabelle"/>
              <w:overflowPunct w:val="0"/>
              <w:autoSpaceDE w:val="0"/>
              <w:autoSpaceDN w:val="0"/>
              <w:adjustRightInd w:val="0"/>
              <w:jc w:val="both"/>
              <w:textAlignment w:val="baseline"/>
              <w:rPr>
                <w:b/>
                <w:sz w:val="16"/>
                <w:szCs w:val="16"/>
                <w:lang w:val="de-CH"/>
              </w:rPr>
            </w:pPr>
            <w:r w:rsidRPr="00707EDE">
              <w:rPr>
                <w:b/>
                <w:sz w:val="16"/>
                <w:szCs w:val="16"/>
                <w:lang w:val="fr-FR"/>
              </w:rPr>
              <w:t>Description des déchets</w:t>
            </w:r>
          </w:p>
        </w:tc>
      </w:tr>
      <w:tr w:rsidR="0088219E" w:rsidRPr="00707EDE" w:rsidTr="003F215E">
        <w:tc>
          <w:tcPr>
            <w:tcW w:w="1530" w:type="dxa"/>
            <w:shd w:val="clear" w:color="auto" w:fill="F2F2F2" w:themeFill="background1" w:themeFillShade="F2"/>
            <w:vAlign w:val="center"/>
          </w:tcPr>
          <w:p w:rsidR="0088219E" w:rsidRPr="0088219E" w:rsidRDefault="0088219E" w:rsidP="006E0165">
            <w:pPr>
              <w:pStyle w:val="Tabelle"/>
              <w:overflowPunct w:val="0"/>
              <w:autoSpaceDE w:val="0"/>
              <w:autoSpaceDN w:val="0"/>
              <w:adjustRightInd w:val="0"/>
              <w:jc w:val="both"/>
              <w:textAlignment w:val="baseline"/>
              <w:rPr>
                <w:sz w:val="16"/>
                <w:szCs w:val="16"/>
                <w:lang w:val="de-CH"/>
              </w:rPr>
            </w:pPr>
            <w:r w:rsidRPr="0088219E">
              <w:rPr>
                <w:sz w:val="16"/>
                <w:szCs w:val="16"/>
                <w:lang w:val="de-CH"/>
              </w:rPr>
              <w:t>18 01 02</w:t>
            </w:r>
          </w:p>
        </w:tc>
        <w:tc>
          <w:tcPr>
            <w:tcW w:w="8246" w:type="dxa"/>
            <w:shd w:val="clear" w:color="auto" w:fill="F2F2F2" w:themeFill="background1" w:themeFillShade="F2"/>
          </w:tcPr>
          <w:p w:rsidR="0088219E" w:rsidRPr="00707EDE" w:rsidRDefault="00707EDE" w:rsidP="006E0165">
            <w:pPr>
              <w:pStyle w:val="Tabelle"/>
              <w:overflowPunct w:val="0"/>
              <w:autoSpaceDE w:val="0"/>
              <w:autoSpaceDN w:val="0"/>
              <w:adjustRightInd w:val="0"/>
              <w:textAlignment w:val="baseline"/>
              <w:rPr>
                <w:sz w:val="16"/>
                <w:szCs w:val="16"/>
                <w:lang w:val="fr-CH"/>
              </w:rPr>
            </w:pPr>
            <w:r w:rsidRPr="00707EDE">
              <w:rPr>
                <w:sz w:val="16"/>
                <w:szCs w:val="16"/>
                <w:lang w:val="fr-FR"/>
              </w:rPr>
              <w:t>Déchets présentant un danger de contamination (p. ex. déchets de tissus, déchets contenant du sang, des sécrétions et des excrétions, sacs de sang et réserves de sang)</w:t>
            </w:r>
          </w:p>
        </w:tc>
      </w:tr>
    </w:tbl>
    <w:p w:rsidR="00DC127F" w:rsidRDefault="00DC127F" w:rsidP="00DC127F">
      <w:pPr>
        <w:pStyle w:val="07BAFUTabellelinks"/>
        <w:rPr>
          <w:noProof/>
          <w:vertAlign w:val="superscript"/>
        </w:rPr>
      </w:pPr>
    </w:p>
    <w:p w:rsidR="00DC127F" w:rsidRPr="00DC127F" w:rsidRDefault="00DC127F" w:rsidP="00DC127F">
      <w:pPr>
        <w:pStyle w:val="07BAFUTabellelinks"/>
        <w:rPr>
          <w:noProof/>
          <w:lang w:val="fr-CH"/>
        </w:rPr>
      </w:pPr>
      <w:r w:rsidRPr="00DC127F">
        <w:rPr>
          <w:noProof/>
          <w:vertAlign w:val="superscript"/>
          <w:lang w:val="fr-CH"/>
        </w:rPr>
        <w:t>1</w:t>
      </w:r>
      <w:r w:rsidRPr="00DC127F">
        <w:rPr>
          <w:noProof/>
          <w:lang w:val="fr-CH"/>
        </w:rPr>
        <w:t xml:space="preserve"> LMD : Code des déchets selon l’Ordonnance du DETEC du 18 octobre 2005 concernant les listes pour les mouvements de déchets ; RS 814.610.1</w:t>
      </w:r>
    </w:p>
    <w:p w:rsidR="0088219E" w:rsidRPr="00707EDE" w:rsidRDefault="0088219E" w:rsidP="0088219E">
      <w:pPr>
        <w:pStyle w:val="05BAFUGrundschrift"/>
        <w:rPr>
          <w:lang w:val="fr-CH"/>
        </w:rPr>
      </w:pPr>
    </w:p>
    <w:p w:rsidR="00DC127F" w:rsidRPr="00DC127F" w:rsidRDefault="00DC127F" w:rsidP="00DC127F">
      <w:pPr>
        <w:pStyle w:val="06BAFULegendeTitel"/>
        <w:rPr>
          <w:lang w:val="fr-FR"/>
        </w:rPr>
      </w:pPr>
      <w:r w:rsidRPr="00DC127F">
        <w:rPr>
          <w:lang w:val="fr-FR"/>
        </w:rPr>
        <w:t>Classification en tant que marchandise dangereuse selon l’ADR/SDR :</w:t>
      </w:r>
    </w:p>
    <w:tbl>
      <w:tblPr>
        <w:tblW w:w="9776" w:type="dxa"/>
        <w:tblInd w:w="-5" w:type="dxa"/>
        <w:tblLayout w:type="fixed"/>
        <w:tblLook w:val="01E0" w:firstRow="1" w:lastRow="1" w:firstColumn="1" w:lastColumn="1" w:noHBand="0" w:noVBand="0"/>
      </w:tblPr>
      <w:tblGrid>
        <w:gridCol w:w="1531"/>
        <w:gridCol w:w="1417"/>
        <w:gridCol w:w="1553"/>
        <w:gridCol w:w="851"/>
        <w:gridCol w:w="4424"/>
      </w:tblGrid>
      <w:tr w:rsidR="0088219E" w:rsidRPr="00DC127F" w:rsidTr="003F215E">
        <w:tc>
          <w:tcPr>
            <w:tcW w:w="1531" w:type="dxa"/>
            <w:tcBorders>
              <w:top w:val="single" w:sz="4" w:space="0" w:color="000000" w:themeColor="text1"/>
            </w:tcBorders>
            <w:shd w:val="clear" w:color="auto" w:fill="auto"/>
          </w:tcPr>
          <w:p w:rsidR="0088219E" w:rsidRPr="0088219E" w:rsidRDefault="00DC127F" w:rsidP="006E0165">
            <w:pPr>
              <w:pStyle w:val="Tabelle"/>
              <w:overflowPunct w:val="0"/>
              <w:autoSpaceDE w:val="0"/>
              <w:autoSpaceDN w:val="0"/>
              <w:adjustRightInd w:val="0"/>
              <w:jc w:val="both"/>
              <w:textAlignment w:val="baseline"/>
              <w:rPr>
                <w:b/>
                <w:sz w:val="16"/>
                <w:szCs w:val="16"/>
                <w:lang w:val="de-CH"/>
              </w:rPr>
            </w:pPr>
            <w:r w:rsidRPr="00DC127F">
              <w:rPr>
                <w:b/>
                <w:sz w:val="16"/>
                <w:szCs w:val="16"/>
                <w:lang w:val="fr-FR"/>
              </w:rPr>
              <w:t>Classe</w:t>
            </w:r>
          </w:p>
        </w:tc>
        <w:tc>
          <w:tcPr>
            <w:tcW w:w="1417" w:type="dxa"/>
            <w:tcBorders>
              <w:top w:val="single" w:sz="4" w:space="0" w:color="000000" w:themeColor="text1"/>
            </w:tcBorders>
            <w:shd w:val="clear" w:color="auto" w:fill="auto"/>
          </w:tcPr>
          <w:p w:rsidR="0088219E" w:rsidRPr="0088219E" w:rsidRDefault="00DC127F" w:rsidP="006E0165">
            <w:pPr>
              <w:pStyle w:val="Tabelle"/>
              <w:overflowPunct w:val="0"/>
              <w:autoSpaceDE w:val="0"/>
              <w:autoSpaceDN w:val="0"/>
              <w:adjustRightInd w:val="0"/>
              <w:jc w:val="both"/>
              <w:textAlignment w:val="baseline"/>
              <w:rPr>
                <w:b/>
                <w:sz w:val="16"/>
                <w:szCs w:val="16"/>
                <w:lang w:val="de-CH"/>
              </w:rPr>
            </w:pPr>
            <w:r w:rsidRPr="00DC127F">
              <w:rPr>
                <w:b/>
                <w:sz w:val="16"/>
                <w:szCs w:val="16"/>
                <w:lang w:val="fr-FR"/>
              </w:rPr>
              <w:t>Catégorie</w:t>
            </w:r>
          </w:p>
        </w:tc>
        <w:tc>
          <w:tcPr>
            <w:tcW w:w="1553" w:type="dxa"/>
            <w:tcBorders>
              <w:top w:val="single" w:sz="4" w:space="0" w:color="000000" w:themeColor="text1"/>
            </w:tcBorders>
            <w:shd w:val="clear" w:color="auto" w:fill="auto"/>
          </w:tcPr>
          <w:p w:rsidR="0088219E" w:rsidRPr="0088219E" w:rsidRDefault="00DC127F" w:rsidP="006E0165">
            <w:pPr>
              <w:pStyle w:val="Tabelle"/>
              <w:overflowPunct w:val="0"/>
              <w:autoSpaceDE w:val="0"/>
              <w:autoSpaceDN w:val="0"/>
              <w:adjustRightInd w:val="0"/>
              <w:jc w:val="both"/>
              <w:textAlignment w:val="baseline"/>
              <w:rPr>
                <w:b/>
                <w:sz w:val="16"/>
                <w:szCs w:val="16"/>
                <w:lang w:val="de-CH"/>
              </w:rPr>
            </w:pPr>
            <w:r w:rsidRPr="00DC127F">
              <w:rPr>
                <w:b/>
                <w:sz w:val="16"/>
                <w:szCs w:val="16"/>
                <w:lang w:val="fr-FR"/>
              </w:rPr>
              <w:t>Numéro ONU</w:t>
            </w:r>
          </w:p>
        </w:tc>
        <w:tc>
          <w:tcPr>
            <w:tcW w:w="851" w:type="dxa"/>
            <w:tcBorders>
              <w:top w:val="single" w:sz="4" w:space="0" w:color="000000" w:themeColor="text1"/>
            </w:tcBorders>
            <w:shd w:val="clear" w:color="auto" w:fill="auto"/>
          </w:tcPr>
          <w:p w:rsidR="0088219E" w:rsidRPr="0088219E" w:rsidRDefault="00DC127F" w:rsidP="006E0165">
            <w:pPr>
              <w:pStyle w:val="Tabelle"/>
              <w:overflowPunct w:val="0"/>
              <w:autoSpaceDE w:val="0"/>
              <w:autoSpaceDN w:val="0"/>
              <w:adjustRightInd w:val="0"/>
              <w:jc w:val="both"/>
              <w:textAlignment w:val="baseline"/>
              <w:rPr>
                <w:b/>
                <w:sz w:val="16"/>
                <w:szCs w:val="16"/>
                <w:lang w:val="de-CH"/>
              </w:rPr>
            </w:pPr>
            <w:r w:rsidRPr="00DC127F">
              <w:rPr>
                <w:rFonts w:cs="Arial"/>
                <w:b/>
                <w:sz w:val="16"/>
                <w:szCs w:val="16"/>
                <w:lang w:val="fr-FR"/>
              </w:rPr>
              <w:t>GE</w:t>
            </w:r>
            <w:r w:rsidRPr="00DC127F">
              <w:rPr>
                <w:rFonts w:cs="Arial"/>
                <w:b/>
                <w:sz w:val="16"/>
                <w:szCs w:val="16"/>
                <w:vertAlign w:val="superscript"/>
                <w:lang w:val="fr-FR"/>
              </w:rPr>
              <w:t>2</w:t>
            </w:r>
          </w:p>
        </w:tc>
        <w:tc>
          <w:tcPr>
            <w:tcW w:w="4424" w:type="dxa"/>
            <w:tcBorders>
              <w:top w:val="single" w:sz="4" w:space="0" w:color="000000" w:themeColor="text1"/>
            </w:tcBorders>
            <w:shd w:val="clear" w:color="auto" w:fill="auto"/>
          </w:tcPr>
          <w:p w:rsidR="0088219E" w:rsidRPr="00DC127F" w:rsidRDefault="00DC127F" w:rsidP="006E0165">
            <w:pPr>
              <w:pStyle w:val="Tabelle"/>
              <w:overflowPunct w:val="0"/>
              <w:autoSpaceDE w:val="0"/>
              <w:autoSpaceDN w:val="0"/>
              <w:adjustRightInd w:val="0"/>
              <w:jc w:val="both"/>
              <w:textAlignment w:val="baseline"/>
              <w:rPr>
                <w:b/>
                <w:sz w:val="16"/>
                <w:szCs w:val="16"/>
                <w:lang w:val="fr-CH"/>
              </w:rPr>
            </w:pPr>
            <w:r w:rsidRPr="00DC127F">
              <w:rPr>
                <w:b/>
                <w:sz w:val="16"/>
                <w:szCs w:val="16"/>
                <w:lang w:val="fr-FR"/>
              </w:rPr>
              <w:t>Quantité maximale autorisée pour chaque unité de transport selon l’ADR – OCS</w:t>
            </w:r>
          </w:p>
        </w:tc>
      </w:tr>
      <w:tr w:rsidR="0088219E" w:rsidRPr="0088219E" w:rsidTr="003F215E">
        <w:tc>
          <w:tcPr>
            <w:tcW w:w="1531" w:type="dxa"/>
            <w:shd w:val="clear" w:color="auto" w:fill="F2F2F2" w:themeFill="background1" w:themeFillShade="F2"/>
            <w:vAlign w:val="center"/>
          </w:tcPr>
          <w:p w:rsidR="0088219E" w:rsidRPr="0088219E" w:rsidRDefault="0088219E" w:rsidP="006E0165">
            <w:pPr>
              <w:pStyle w:val="Tabelle"/>
              <w:overflowPunct w:val="0"/>
              <w:autoSpaceDE w:val="0"/>
              <w:autoSpaceDN w:val="0"/>
              <w:adjustRightInd w:val="0"/>
              <w:jc w:val="both"/>
              <w:textAlignment w:val="baseline"/>
              <w:rPr>
                <w:sz w:val="16"/>
                <w:szCs w:val="16"/>
                <w:lang w:val="de-CH"/>
              </w:rPr>
            </w:pPr>
            <w:r w:rsidRPr="0088219E">
              <w:rPr>
                <w:sz w:val="16"/>
                <w:szCs w:val="16"/>
                <w:lang w:val="de-CH"/>
              </w:rPr>
              <w:t>6.2</w:t>
            </w:r>
          </w:p>
        </w:tc>
        <w:tc>
          <w:tcPr>
            <w:tcW w:w="1417" w:type="dxa"/>
            <w:shd w:val="clear" w:color="auto" w:fill="F2F2F2" w:themeFill="background1" w:themeFillShade="F2"/>
            <w:vAlign w:val="center"/>
          </w:tcPr>
          <w:p w:rsidR="0088219E" w:rsidRPr="0088219E" w:rsidRDefault="0088219E" w:rsidP="006E0165">
            <w:pPr>
              <w:pStyle w:val="Tabelle"/>
              <w:overflowPunct w:val="0"/>
              <w:autoSpaceDE w:val="0"/>
              <w:autoSpaceDN w:val="0"/>
              <w:adjustRightInd w:val="0"/>
              <w:jc w:val="both"/>
              <w:textAlignment w:val="baseline"/>
              <w:rPr>
                <w:sz w:val="16"/>
                <w:szCs w:val="16"/>
                <w:lang w:val="de-CH"/>
              </w:rPr>
            </w:pPr>
            <w:r w:rsidRPr="0088219E">
              <w:rPr>
                <w:sz w:val="16"/>
                <w:szCs w:val="16"/>
                <w:lang w:val="de-CH"/>
              </w:rPr>
              <w:t>B</w:t>
            </w:r>
          </w:p>
        </w:tc>
        <w:tc>
          <w:tcPr>
            <w:tcW w:w="1553" w:type="dxa"/>
            <w:shd w:val="clear" w:color="auto" w:fill="F2F2F2" w:themeFill="background1" w:themeFillShade="F2"/>
            <w:vAlign w:val="center"/>
          </w:tcPr>
          <w:p w:rsidR="0088219E" w:rsidRPr="0088219E" w:rsidRDefault="0088219E" w:rsidP="006E0165">
            <w:pPr>
              <w:pStyle w:val="Tabelle"/>
              <w:overflowPunct w:val="0"/>
              <w:autoSpaceDE w:val="0"/>
              <w:autoSpaceDN w:val="0"/>
              <w:adjustRightInd w:val="0"/>
              <w:jc w:val="both"/>
              <w:textAlignment w:val="baseline"/>
              <w:rPr>
                <w:sz w:val="16"/>
                <w:szCs w:val="16"/>
                <w:lang w:val="de-CH"/>
              </w:rPr>
            </w:pPr>
            <w:r w:rsidRPr="0088219E">
              <w:rPr>
                <w:sz w:val="16"/>
                <w:szCs w:val="16"/>
                <w:lang w:val="de-CH"/>
              </w:rPr>
              <w:t>3291</w:t>
            </w:r>
          </w:p>
        </w:tc>
        <w:tc>
          <w:tcPr>
            <w:tcW w:w="851" w:type="dxa"/>
            <w:shd w:val="clear" w:color="auto" w:fill="F2F2F2" w:themeFill="background1" w:themeFillShade="F2"/>
            <w:vAlign w:val="center"/>
          </w:tcPr>
          <w:p w:rsidR="0088219E" w:rsidRPr="0088219E" w:rsidRDefault="0088219E" w:rsidP="006E0165">
            <w:pPr>
              <w:pStyle w:val="Tabelle"/>
              <w:overflowPunct w:val="0"/>
              <w:autoSpaceDE w:val="0"/>
              <w:autoSpaceDN w:val="0"/>
              <w:adjustRightInd w:val="0"/>
              <w:jc w:val="both"/>
              <w:textAlignment w:val="baseline"/>
              <w:rPr>
                <w:sz w:val="16"/>
                <w:szCs w:val="16"/>
                <w:lang w:val="de-CH"/>
              </w:rPr>
            </w:pPr>
            <w:r w:rsidRPr="0088219E">
              <w:rPr>
                <w:sz w:val="16"/>
                <w:szCs w:val="16"/>
                <w:lang w:val="de-CH"/>
              </w:rPr>
              <w:t>II</w:t>
            </w:r>
          </w:p>
        </w:tc>
        <w:tc>
          <w:tcPr>
            <w:tcW w:w="4424" w:type="dxa"/>
            <w:shd w:val="clear" w:color="auto" w:fill="F2F2F2" w:themeFill="background1" w:themeFillShade="F2"/>
          </w:tcPr>
          <w:p w:rsidR="0088219E" w:rsidRPr="0088219E" w:rsidRDefault="0088219E" w:rsidP="008F4C81">
            <w:pPr>
              <w:pStyle w:val="Tabelle"/>
              <w:overflowPunct w:val="0"/>
              <w:autoSpaceDE w:val="0"/>
              <w:autoSpaceDN w:val="0"/>
              <w:adjustRightInd w:val="0"/>
              <w:jc w:val="both"/>
              <w:textAlignment w:val="baseline"/>
              <w:rPr>
                <w:sz w:val="16"/>
                <w:szCs w:val="16"/>
                <w:lang w:val="de-CH"/>
              </w:rPr>
            </w:pPr>
            <w:r w:rsidRPr="0088219E">
              <w:rPr>
                <w:sz w:val="16"/>
                <w:szCs w:val="16"/>
                <w:lang w:val="de-CH"/>
              </w:rPr>
              <w:t xml:space="preserve">333 kg </w:t>
            </w:r>
            <w:proofErr w:type="spellStart"/>
            <w:r w:rsidR="008F4C81">
              <w:rPr>
                <w:sz w:val="16"/>
                <w:szCs w:val="16"/>
                <w:lang w:val="de-CH"/>
              </w:rPr>
              <w:t>ou</w:t>
            </w:r>
            <w:proofErr w:type="spellEnd"/>
            <w:r w:rsidR="008F4C81">
              <w:rPr>
                <w:sz w:val="16"/>
                <w:szCs w:val="16"/>
                <w:lang w:val="de-CH"/>
              </w:rPr>
              <w:t xml:space="preserve"> </w:t>
            </w:r>
            <w:proofErr w:type="spellStart"/>
            <w:r w:rsidR="008F4C81">
              <w:rPr>
                <w:sz w:val="16"/>
                <w:szCs w:val="16"/>
                <w:lang w:val="de-CH"/>
              </w:rPr>
              <w:t>litres</w:t>
            </w:r>
            <w:proofErr w:type="spellEnd"/>
          </w:p>
        </w:tc>
      </w:tr>
    </w:tbl>
    <w:p w:rsidR="0088219E" w:rsidRDefault="0088219E" w:rsidP="0088219E">
      <w:pPr>
        <w:pStyle w:val="05BAFUGrundschrift"/>
      </w:pPr>
    </w:p>
    <w:p w:rsidR="00A66A3D" w:rsidRDefault="0088219E" w:rsidP="00A66A3D">
      <w:pPr>
        <w:pStyle w:val="02BAFUTitelnummeriert"/>
      </w:pPr>
      <w:r>
        <w:t xml:space="preserve"> </w:t>
      </w:r>
      <w:r w:rsidR="00F03E15" w:rsidRPr="00F03E15">
        <w:rPr>
          <w:lang w:val="fr-FR"/>
        </w:rPr>
        <w:t>Déchets animaux</w:t>
      </w:r>
      <w:r w:rsidR="00F03E15" w:rsidRPr="00F03E15">
        <w:rPr>
          <w:vertAlign w:val="superscript"/>
          <w:lang w:val="fr-FR"/>
        </w:rPr>
        <w:footnoteReference w:id="4"/>
      </w:r>
    </w:p>
    <w:p w:rsidR="00F03E15" w:rsidRPr="00FD7BF0" w:rsidRDefault="00F03E15" w:rsidP="00F03E15">
      <w:pPr>
        <w:pStyle w:val="05BAFUGrundschrift"/>
        <w:rPr>
          <w:lang w:val="fr-FR"/>
        </w:rPr>
      </w:pPr>
      <w:r>
        <w:rPr>
          <w:lang w:val="fr-FR"/>
        </w:rPr>
        <w:t xml:space="preserve">Les déchets de petits animaux provenant des activités de classe 2 au sens de l’OUC et qui contiennent des organismes génétiquement modifiés ou pathogènes sont par principe inactivés sur place, puis éliminés conformément à la législation sur le protection de l’environnement ou à la législation sur les épizooties </w:t>
      </w:r>
      <w:r w:rsidRPr="00FD7BF0">
        <w:rPr>
          <w:lang w:val="fr-FR"/>
        </w:rPr>
        <w:t>(</w:t>
      </w:r>
      <w:r>
        <w:rPr>
          <w:lang w:val="fr-FR"/>
        </w:rPr>
        <w:t xml:space="preserve">selon la nature des déchets selon l’OESPA ou selon </w:t>
      </w:r>
      <w:proofErr w:type="spellStart"/>
      <w:r>
        <w:rPr>
          <w:lang w:val="fr-FR"/>
        </w:rPr>
        <w:t>OMoD</w:t>
      </w:r>
      <w:proofErr w:type="spellEnd"/>
      <w:r w:rsidRPr="00FD7BF0">
        <w:rPr>
          <w:lang w:val="fr-FR"/>
        </w:rPr>
        <w:t>).</w:t>
      </w:r>
    </w:p>
    <w:p w:rsidR="00F03E15" w:rsidRDefault="00F03E15" w:rsidP="00F03E15">
      <w:pPr>
        <w:pStyle w:val="05BAFUGrundschrift"/>
        <w:rPr>
          <w:lang w:val="fr-FR"/>
        </w:rPr>
      </w:pPr>
      <w:r>
        <w:rPr>
          <w:lang w:val="fr-FR"/>
        </w:rPr>
        <w:t>Le stockage intermédiaire jusqu’à l’élimination s’effectue sous réfrigération</w:t>
      </w:r>
      <w:r w:rsidRPr="00FD7BF0">
        <w:rPr>
          <w:lang w:val="fr-FR"/>
        </w:rPr>
        <w:t xml:space="preserve"> (</w:t>
      </w:r>
      <w:r>
        <w:rPr>
          <w:lang w:val="fr-FR"/>
        </w:rPr>
        <w:t>au maximum</w:t>
      </w:r>
      <w:r w:rsidRPr="00FD7BF0">
        <w:rPr>
          <w:lang w:val="fr-FR"/>
        </w:rPr>
        <w:t xml:space="preserve"> +4</w:t>
      </w:r>
      <w:r>
        <w:rPr>
          <w:lang w:val="fr-FR"/>
        </w:rPr>
        <w:t> °</w:t>
      </w:r>
      <w:r w:rsidRPr="00FD7BF0">
        <w:rPr>
          <w:lang w:val="fr-FR"/>
        </w:rPr>
        <w:t xml:space="preserve">C, </w:t>
      </w:r>
      <w:r>
        <w:rPr>
          <w:lang w:val="fr-FR"/>
        </w:rPr>
        <w:t xml:space="preserve">température </w:t>
      </w:r>
      <w:r w:rsidRPr="00FD7BF0">
        <w:rPr>
          <w:lang w:val="fr-FR"/>
        </w:rPr>
        <w:t>optimal</w:t>
      </w:r>
      <w:r>
        <w:rPr>
          <w:lang w:val="fr-FR"/>
        </w:rPr>
        <w:t>e :</w:t>
      </w:r>
      <w:r w:rsidR="003C14B9">
        <w:rPr>
          <w:lang w:val="fr-FR"/>
        </w:rPr>
        <w:t xml:space="preserve"> </w:t>
      </w:r>
      <w:r w:rsidR="003C14B9">
        <w:rPr>
          <w:rFonts w:ascii="Times New Roman" w:hAnsi="Times New Roman" w:cs="Times New Roman"/>
          <w:lang w:val="fr-FR"/>
        </w:rPr>
        <w:t>–</w:t>
      </w:r>
      <w:bookmarkStart w:id="1" w:name="_GoBack"/>
      <w:bookmarkEnd w:id="1"/>
      <w:r w:rsidRPr="00FD7BF0">
        <w:rPr>
          <w:lang w:val="fr-FR"/>
        </w:rPr>
        <w:t>20</w:t>
      </w:r>
      <w:r>
        <w:rPr>
          <w:lang w:val="fr-FR"/>
        </w:rPr>
        <w:t> °</w:t>
      </w:r>
      <w:r w:rsidRPr="00FD7BF0">
        <w:rPr>
          <w:lang w:val="fr-FR"/>
        </w:rPr>
        <w:t xml:space="preserve">C) </w:t>
      </w:r>
      <w:r>
        <w:rPr>
          <w:lang w:val="fr-FR"/>
        </w:rPr>
        <w:t>dans un endroit accessible uniquement au personnel qualifié</w:t>
      </w:r>
      <w:r w:rsidRPr="00FD7BF0">
        <w:rPr>
          <w:lang w:val="fr-FR"/>
        </w:rPr>
        <w:t>.</w:t>
      </w:r>
    </w:p>
    <w:p w:rsidR="00F03E15" w:rsidRPr="00FD7BF0" w:rsidRDefault="00F03E15" w:rsidP="00F03E15">
      <w:pPr>
        <w:pStyle w:val="05BAFUGrundschrift"/>
        <w:rPr>
          <w:lang w:val="fr-FR"/>
        </w:rPr>
      </w:pPr>
      <w:r>
        <w:rPr>
          <w:lang w:val="fr-FR"/>
        </w:rPr>
        <w:t xml:space="preserve">Pour l’élimination et le transport au sens de la législation sur les épizooties, les animaux morts, ou les parties de ceux-ci, doivent être clairement étiquetés, accompagnés d’un document indiquant le provenance et la nature du matériel ainsi que sa destination, et ils doivent être incinérés dans une installation au bénéfice d’une autorisation </w:t>
      </w:r>
      <w:r w:rsidRPr="00FD7BF0">
        <w:rPr>
          <w:lang w:val="fr-FR"/>
        </w:rPr>
        <w:t>(</w:t>
      </w:r>
      <w:r>
        <w:rPr>
          <w:lang w:val="fr-FR"/>
        </w:rPr>
        <w:t>voir annexe 1 OESPA</w:t>
      </w:r>
      <w:r w:rsidRPr="00FD7BF0">
        <w:rPr>
          <w:lang w:val="fr-FR"/>
        </w:rPr>
        <w:t>).</w:t>
      </w:r>
    </w:p>
    <w:p w:rsidR="00F03E15" w:rsidRPr="00FD7BF0" w:rsidRDefault="00F03E15" w:rsidP="00F03E15">
      <w:pPr>
        <w:pStyle w:val="05BAFUGrundschrift"/>
        <w:rPr>
          <w:lang w:val="fr-FR"/>
        </w:rPr>
      </w:pPr>
      <w:r>
        <w:rPr>
          <w:lang w:val="fr-FR"/>
        </w:rPr>
        <w:t>Pour l’élimination et le transport en tant que déchets spéciaux, un document de suivi (pour les petites quantités une liste collective) au sens de l’OMoD et</w:t>
      </w:r>
      <w:r w:rsidRPr="00FD7BF0">
        <w:rPr>
          <w:lang w:val="fr-FR"/>
        </w:rPr>
        <w:t xml:space="preserve"> </w:t>
      </w:r>
      <w:r>
        <w:rPr>
          <w:lang w:val="fr-FR"/>
        </w:rPr>
        <w:t>de la LMD</w:t>
      </w:r>
      <w:r w:rsidRPr="0064158A">
        <w:rPr>
          <w:lang w:val="fr-FR"/>
        </w:rPr>
        <w:t xml:space="preserve"> </w:t>
      </w:r>
      <w:r>
        <w:rPr>
          <w:lang w:val="fr-FR"/>
        </w:rPr>
        <w:t>est élaboré et complété par les rubriques exigées par l’</w:t>
      </w:r>
      <w:r w:rsidRPr="00FD7BF0">
        <w:rPr>
          <w:lang w:val="fr-FR"/>
        </w:rPr>
        <w:t>ADR</w:t>
      </w:r>
      <w:r>
        <w:rPr>
          <w:lang w:val="fr-FR"/>
        </w:rPr>
        <w:t>,</w:t>
      </w:r>
      <w:r w:rsidRPr="00FD7BF0">
        <w:rPr>
          <w:lang w:val="fr-FR"/>
        </w:rPr>
        <w:t xml:space="preserve"> </w:t>
      </w:r>
      <w:r>
        <w:rPr>
          <w:lang w:val="fr-FR"/>
        </w:rPr>
        <w:t>ou alors il faut remplir un document de transport supplémentaire au sens de l’ADR.</w:t>
      </w:r>
    </w:p>
    <w:p w:rsidR="00993C56" w:rsidRPr="00F03E15" w:rsidRDefault="00993C56">
      <w:pPr>
        <w:rPr>
          <w:rFonts w:ascii="Arial" w:hAnsi="Arial" w:cs="Arial"/>
          <w:noProof/>
          <w:sz w:val="20"/>
          <w:szCs w:val="20"/>
          <w:lang w:val="fr-CH" w:eastAsia="de-CH"/>
        </w:rPr>
      </w:pPr>
      <w:r w:rsidRPr="00F03E15">
        <w:rPr>
          <w:lang w:val="fr-CH"/>
        </w:rPr>
        <w:br w:type="page"/>
      </w:r>
    </w:p>
    <w:p w:rsidR="0023102C" w:rsidRPr="0023102C" w:rsidRDefault="0023102C" w:rsidP="0023102C">
      <w:pPr>
        <w:pStyle w:val="06BAFULegendeTitel"/>
        <w:rPr>
          <w:lang w:val="fr-FR"/>
        </w:rPr>
      </w:pPr>
      <w:r w:rsidRPr="0023102C">
        <w:rPr>
          <w:lang w:val="fr-FR"/>
        </w:rPr>
        <w:lastRenderedPageBreak/>
        <w:t xml:space="preserve">Codage en tant que déchets spéciaux selon </w:t>
      </w:r>
      <w:proofErr w:type="spellStart"/>
      <w:r w:rsidRPr="0023102C">
        <w:rPr>
          <w:lang w:val="fr-FR"/>
        </w:rPr>
        <w:t>OMoD</w:t>
      </w:r>
      <w:proofErr w:type="spellEnd"/>
    </w:p>
    <w:tbl>
      <w:tblPr>
        <w:tblW w:w="9776" w:type="dxa"/>
        <w:tblInd w:w="-5" w:type="dxa"/>
        <w:tblLayout w:type="fixed"/>
        <w:tblLook w:val="01E0" w:firstRow="1" w:lastRow="1" w:firstColumn="1" w:lastColumn="1" w:noHBand="0" w:noVBand="0"/>
      </w:tblPr>
      <w:tblGrid>
        <w:gridCol w:w="1530"/>
        <w:gridCol w:w="8246"/>
      </w:tblGrid>
      <w:tr w:rsidR="00BD470D" w:rsidRPr="0088219E" w:rsidTr="006E0165">
        <w:tc>
          <w:tcPr>
            <w:tcW w:w="1530" w:type="dxa"/>
            <w:tcBorders>
              <w:top w:val="single" w:sz="4" w:space="0" w:color="000000" w:themeColor="text1"/>
            </w:tcBorders>
            <w:shd w:val="clear" w:color="auto" w:fill="auto"/>
          </w:tcPr>
          <w:p w:rsidR="00BD470D" w:rsidRPr="0088219E" w:rsidRDefault="00E45D2C" w:rsidP="006E0165">
            <w:pPr>
              <w:pStyle w:val="Tabelle"/>
              <w:overflowPunct w:val="0"/>
              <w:autoSpaceDE w:val="0"/>
              <w:autoSpaceDN w:val="0"/>
              <w:adjustRightInd w:val="0"/>
              <w:jc w:val="both"/>
              <w:textAlignment w:val="baseline"/>
              <w:rPr>
                <w:b/>
                <w:sz w:val="16"/>
                <w:szCs w:val="16"/>
                <w:lang w:val="de-CH"/>
              </w:rPr>
            </w:pPr>
            <w:r w:rsidRPr="00E45D2C">
              <w:rPr>
                <w:b/>
                <w:sz w:val="16"/>
                <w:szCs w:val="16"/>
                <w:lang w:val="fr-FR"/>
              </w:rPr>
              <w:t>Code LMD</w:t>
            </w:r>
            <w:r w:rsidRPr="00E45D2C">
              <w:rPr>
                <w:b/>
                <w:sz w:val="16"/>
                <w:szCs w:val="16"/>
                <w:vertAlign w:val="superscript"/>
                <w:lang w:val="fr-FR"/>
              </w:rPr>
              <w:t>1</w:t>
            </w:r>
          </w:p>
        </w:tc>
        <w:tc>
          <w:tcPr>
            <w:tcW w:w="8246" w:type="dxa"/>
            <w:tcBorders>
              <w:top w:val="single" w:sz="4" w:space="0" w:color="000000" w:themeColor="text1"/>
            </w:tcBorders>
            <w:shd w:val="clear" w:color="auto" w:fill="auto"/>
          </w:tcPr>
          <w:p w:rsidR="00BD470D" w:rsidRPr="0088219E" w:rsidRDefault="00E45D2C" w:rsidP="006E0165">
            <w:pPr>
              <w:pStyle w:val="Tabelle"/>
              <w:overflowPunct w:val="0"/>
              <w:autoSpaceDE w:val="0"/>
              <w:autoSpaceDN w:val="0"/>
              <w:adjustRightInd w:val="0"/>
              <w:jc w:val="both"/>
              <w:textAlignment w:val="baseline"/>
              <w:rPr>
                <w:b/>
                <w:sz w:val="16"/>
                <w:szCs w:val="16"/>
                <w:lang w:val="de-CH"/>
              </w:rPr>
            </w:pPr>
            <w:r w:rsidRPr="00E45D2C">
              <w:rPr>
                <w:b/>
                <w:sz w:val="16"/>
                <w:szCs w:val="16"/>
                <w:lang w:val="fr-FR"/>
              </w:rPr>
              <w:t>Description des déchets</w:t>
            </w:r>
          </w:p>
        </w:tc>
      </w:tr>
      <w:tr w:rsidR="00BD470D" w:rsidRPr="00E45D2C" w:rsidTr="006E0165">
        <w:tc>
          <w:tcPr>
            <w:tcW w:w="1530" w:type="dxa"/>
            <w:shd w:val="clear" w:color="auto" w:fill="F2F2F2" w:themeFill="background1" w:themeFillShade="F2"/>
            <w:vAlign w:val="center"/>
          </w:tcPr>
          <w:p w:rsidR="00BD470D" w:rsidRPr="0088219E" w:rsidRDefault="00BD470D" w:rsidP="006E0165">
            <w:pPr>
              <w:pStyle w:val="Tabelle"/>
              <w:overflowPunct w:val="0"/>
              <w:autoSpaceDE w:val="0"/>
              <w:autoSpaceDN w:val="0"/>
              <w:adjustRightInd w:val="0"/>
              <w:jc w:val="both"/>
              <w:textAlignment w:val="baseline"/>
              <w:rPr>
                <w:sz w:val="16"/>
                <w:szCs w:val="16"/>
                <w:lang w:val="de-CH"/>
              </w:rPr>
            </w:pPr>
            <w:r w:rsidRPr="00BD470D">
              <w:rPr>
                <w:sz w:val="16"/>
                <w:szCs w:val="16"/>
                <w:lang w:val="de-CH"/>
              </w:rPr>
              <w:t>18 02 98</w:t>
            </w:r>
          </w:p>
        </w:tc>
        <w:tc>
          <w:tcPr>
            <w:tcW w:w="8246" w:type="dxa"/>
            <w:shd w:val="clear" w:color="auto" w:fill="F2F2F2" w:themeFill="background1" w:themeFillShade="F2"/>
          </w:tcPr>
          <w:p w:rsidR="00BD470D" w:rsidRPr="00E45D2C" w:rsidRDefault="00E45D2C" w:rsidP="00E45D2C">
            <w:pPr>
              <w:pStyle w:val="Tabelle"/>
              <w:overflowPunct w:val="0"/>
              <w:autoSpaceDE w:val="0"/>
              <w:autoSpaceDN w:val="0"/>
              <w:adjustRightInd w:val="0"/>
              <w:textAlignment w:val="baseline"/>
              <w:rPr>
                <w:sz w:val="16"/>
                <w:szCs w:val="16"/>
                <w:lang w:val="fr-CH"/>
              </w:rPr>
            </w:pPr>
            <w:r w:rsidRPr="00E45D2C">
              <w:rPr>
                <w:sz w:val="16"/>
                <w:szCs w:val="16"/>
                <w:lang w:val="fr-FR"/>
              </w:rPr>
              <w:t>Déchets animaux présentant un danger de contami</w:t>
            </w:r>
            <w:r w:rsidRPr="00E45D2C">
              <w:rPr>
                <w:sz w:val="16"/>
                <w:szCs w:val="16"/>
                <w:lang w:val="fr-FR"/>
              </w:rPr>
              <w:softHyphen/>
              <w:t>na</w:t>
            </w:r>
            <w:r w:rsidRPr="00E45D2C">
              <w:rPr>
                <w:sz w:val="16"/>
                <w:szCs w:val="16"/>
                <w:lang w:val="fr-FR"/>
              </w:rPr>
              <w:softHyphen/>
              <w:t>tion (p. ex. déchets de tissus, déchets contenant du sang, des sécrétions et des excrétions, sacs de sang et réserves de sang, cadavres contaminés d’animaux [de</w:t>
            </w:r>
            <w:r>
              <w:rPr>
                <w:sz w:val="16"/>
                <w:szCs w:val="16"/>
                <w:lang w:val="fr-FR"/>
              </w:rPr>
              <w:t> </w:t>
            </w:r>
            <w:r w:rsidRPr="00E45D2C">
              <w:rPr>
                <w:sz w:val="16"/>
                <w:szCs w:val="16"/>
                <w:lang w:val="fr-FR"/>
              </w:rPr>
              <w:t>laboratoire])</w:t>
            </w:r>
          </w:p>
        </w:tc>
      </w:tr>
    </w:tbl>
    <w:p w:rsidR="007A08A9" w:rsidRDefault="007A08A9" w:rsidP="007A08A9">
      <w:pPr>
        <w:pStyle w:val="07BAFUTabellelinks"/>
        <w:rPr>
          <w:noProof/>
          <w:vertAlign w:val="superscript"/>
        </w:rPr>
      </w:pPr>
    </w:p>
    <w:p w:rsidR="00AB39FC" w:rsidRPr="007A08A9" w:rsidRDefault="00AB39FC" w:rsidP="007A08A9">
      <w:pPr>
        <w:pStyle w:val="07BAFUTabellelinks"/>
        <w:rPr>
          <w:noProof/>
          <w:lang w:val="fr-CH"/>
        </w:rPr>
      </w:pPr>
      <w:r w:rsidRPr="007A08A9">
        <w:rPr>
          <w:noProof/>
          <w:vertAlign w:val="superscript"/>
          <w:lang w:val="fr-CH"/>
        </w:rPr>
        <w:t>1</w:t>
      </w:r>
      <w:r w:rsidRPr="007A08A9">
        <w:rPr>
          <w:noProof/>
          <w:lang w:val="fr-CH"/>
        </w:rPr>
        <w:t xml:space="preserve"> LMD : Code des déchets selon l’Ordonnance du DETEC du 18 octobre 2005 concernant les listes pour les mouvements de déchets ; RS 814.610.1</w:t>
      </w:r>
    </w:p>
    <w:p w:rsidR="00AB39FC" w:rsidRPr="00AB39FC" w:rsidRDefault="00AB39FC" w:rsidP="002B0862">
      <w:pPr>
        <w:pStyle w:val="05BAFUGrundschriftAufzhlung"/>
        <w:numPr>
          <w:ilvl w:val="0"/>
          <w:numId w:val="0"/>
        </w:numPr>
        <w:rPr>
          <w:lang w:val="fr-FR"/>
        </w:rPr>
      </w:pPr>
    </w:p>
    <w:p w:rsidR="0023102C" w:rsidRPr="0023102C" w:rsidRDefault="0023102C" w:rsidP="0023102C">
      <w:pPr>
        <w:pStyle w:val="06BAFULegendeTitel"/>
      </w:pPr>
      <w:r w:rsidRPr="0023102C">
        <w:t>Classification en tant que marchandise dangereuse selon l’ADR/SDR :</w:t>
      </w:r>
    </w:p>
    <w:tbl>
      <w:tblPr>
        <w:tblW w:w="0" w:type="auto"/>
        <w:tblInd w:w="-5" w:type="dxa"/>
        <w:tblLook w:val="01E0" w:firstRow="1" w:lastRow="1" w:firstColumn="1" w:lastColumn="1" w:noHBand="0" w:noVBand="0"/>
      </w:tblPr>
      <w:tblGrid>
        <w:gridCol w:w="1592"/>
        <w:gridCol w:w="1579"/>
        <w:gridCol w:w="1584"/>
        <w:gridCol w:w="727"/>
        <w:gridCol w:w="3010"/>
      </w:tblGrid>
      <w:tr w:rsidR="00993C56" w:rsidRPr="00FB77F2" w:rsidTr="00993C56">
        <w:tc>
          <w:tcPr>
            <w:tcW w:w="1592" w:type="dxa"/>
            <w:tcBorders>
              <w:top w:val="single" w:sz="4" w:space="0" w:color="000000" w:themeColor="text1"/>
            </w:tcBorders>
            <w:shd w:val="clear" w:color="auto" w:fill="auto"/>
          </w:tcPr>
          <w:p w:rsidR="00993C56" w:rsidRPr="00993C56" w:rsidRDefault="00FB77F2" w:rsidP="006E0165">
            <w:pPr>
              <w:pStyle w:val="Tabelle"/>
              <w:overflowPunct w:val="0"/>
              <w:autoSpaceDE w:val="0"/>
              <w:autoSpaceDN w:val="0"/>
              <w:adjustRightInd w:val="0"/>
              <w:spacing w:line="240" w:lineRule="exact"/>
              <w:jc w:val="both"/>
              <w:textAlignment w:val="baseline"/>
              <w:rPr>
                <w:b/>
                <w:sz w:val="16"/>
                <w:szCs w:val="16"/>
                <w:lang w:val="de-CH"/>
              </w:rPr>
            </w:pPr>
            <w:r w:rsidRPr="00FB77F2">
              <w:rPr>
                <w:b/>
                <w:sz w:val="16"/>
                <w:szCs w:val="16"/>
                <w:lang w:val="fr-FR"/>
              </w:rPr>
              <w:t>Classe</w:t>
            </w:r>
          </w:p>
        </w:tc>
        <w:tc>
          <w:tcPr>
            <w:tcW w:w="1579" w:type="dxa"/>
            <w:tcBorders>
              <w:top w:val="single" w:sz="4" w:space="0" w:color="000000" w:themeColor="text1"/>
            </w:tcBorders>
            <w:shd w:val="clear" w:color="auto" w:fill="auto"/>
          </w:tcPr>
          <w:p w:rsidR="00993C56" w:rsidRPr="00993C56" w:rsidRDefault="00FB77F2" w:rsidP="006E0165">
            <w:pPr>
              <w:pStyle w:val="Tabelle"/>
              <w:overflowPunct w:val="0"/>
              <w:autoSpaceDE w:val="0"/>
              <w:autoSpaceDN w:val="0"/>
              <w:adjustRightInd w:val="0"/>
              <w:spacing w:line="240" w:lineRule="exact"/>
              <w:jc w:val="both"/>
              <w:textAlignment w:val="baseline"/>
              <w:rPr>
                <w:b/>
                <w:sz w:val="16"/>
                <w:szCs w:val="16"/>
                <w:lang w:val="de-CH"/>
              </w:rPr>
            </w:pPr>
            <w:r w:rsidRPr="00FB77F2">
              <w:rPr>
                <w:b/>
                <w:sz w:val="16"/>
                <w:szCs w:val="16"/>
                <w:lang w:val="fr-FR"/>
              </w:rPr>
              <w:t>Catégorie</w:t>
            </w:r>
          </w:p>
        </w:tc>
        <w:tc>
          <w:tcPr>
            <w:tcW w:w="1584" w:type="dxa"/>
            <w:tcBorders>
              <w:top w:val="single" w:sz="4" w:space="0" w:color="000000" w:themeColor="text1"/>
            </w:tcBorders>
            <w:shd w:val="clear" w:color="auto" w:fill="auto"/>
          </w:tcPr>
          <w:p w:rsidR="00993C56" w:rsidRPr="00993C56" w:rsidRDefault="00FB77F2" w:rsidP="006E0165">
            <w:pPr>
              <w:pStyle w:val="Tabelle"/>
              <w:overflowPunct w:val="0"/>
              <w:autoSpaceDE w:val="0"/>
              <w:autoSpaceDN w:val="0"/>
              <w:adjustRightInd w:val="0"/>
              <w:spacing w:line="240" w:lineRule="exact"/>
              <w:jc w:val="both"/>
              <w:textAlignment w:val="baseline"/>
              <w:rPr>
                <w:b/>
                <w:sz w:val="16"/>
                <w:szCs w:val="16"/>
                <w:lang w:val="de-CH"/>
              </w:rPr>
            </w:pPr>
            <w:r w:rsidRPr="00FB77F2">
              <w:rPr>
                <w:b/>
                <w:sz w:val="16"/>
                <w:szCs w:val="16"/>
                <w:lang w:val="fr-FR"/>
              </w:rPr>
              <w:t>Numéro ONU</w:t>
            </w:r>
          </w:p>
        </w:tc>
        <w:tc>
          <w:tcPr>
            <w:tcW w:w="727" w:type="dxa"/>
            <w:tcBorders>
              <w:top w:val="single" w:sz="4" w:space="0" w:color="000000" w:themeColor="text1"/>
            </w:tcBorders>
            <w:shd w:val="clear" w:color="auto" w:fill="auto"/>
          </w:tcPr>
          <w:p w:rsidR="00993C56" w:rsidRPr="00993C56" w:rsidRDefault="00FB77F2" w:rsidP="00993C56">
            <w:pPr>
              <w:pStyle w:val="Tabelle"/>
              <w:overflowPunct w:val="0"/>
              <w:autoSpaceDE w:val="0"/>
              <w:autoSpaceDN w:val="0"/>
              <w:adjustRightInd w:val="0"/>
              <w:spacing w:line="240" w:lineRule="exact"/>
              <w:jc w:val="both"/>
              <w:textAlignment w:val="baseline"/>
              <w:rPr>
                <w:b/>
                <w:sz w:val="16"/>
                <w:szCs w:val="16"/>
                <w:lang w:val="de-CH"/>
              </w:rPr>
            </w:pPr>
            <w:r w:rsidRPr="00FB77F2">
              <w:rPr>
                <w:rFonts w:cs="Arial"/>
                <w:b/>
                <w:sz w:val="16"/>
                <w:szCs w:val="16"/>
                <w:lang w:val="fr-FR"/>
              </w:rPr>
              <w:t>GE</w:t>
            </w:r>
            <w:r w:rsidRPr="00FB77F2">
              <w:rPr>
                <w:rFonts w:cs="Arial"/>
                <w:b/>
                <w:sz w:val="16"/>
                <w:szCs w:val="16"/>
                <w:vertAlign w:val="superscript"/>
                <w:lang w:val="fr-FR"/>
              </w:rPr>
              <w:t>12</w:t>
            </w:r>
          </w:p>
        </w:tc>
        <w:tc>
          <w:tcPr>
            <w:tcW w:w="3010" w:type="dxa"/>
            <w:tcBorders>
              <w:top w:val="single" w:sz="4" w:space="0" w:color="000000" w:themeColor="text1"/>
            </w:tcBorders>
            <w:shd w:val="clear" w:color="auto" w:fill="auto"/>
          </w:tcPr>
          <w:p w:rsidR="00993C56" w:rsidRPr="00FB77F2" w:rsidRDefault="00FB77F2" w:rsidP="006E0165">
            <w:pPr>
              <w:pStyle w:val="Tabelle"/>
              <w:overflowPunct w:val="0"/>
              <w:autoSpaceDE w:val="0"/>
              <w:autoSpaceDN w:val="0"/>
              <w:adjustRightInd w:val="0"/>
              <w:spacing w:line="240" w:lineRule="exact"/>
              <w:jc w:val="both"/>
              <w:textAlignment w:val="baseline"/>
              <w:rPr>
                <w:b/>
                <w:sz w:val="16"/>
                <w:szCs w:val="16"/>
                <w:lang w:val="fr-CH"/>
              </w:rPr>
            </w:pPr>
            <w:r w:rsidRPr="00FB77F2">
              <w:rPr>
                <w:b/>
                <w:sz w:val="16"/>
                <w:szCs w:val="16"/>
                <w:lang w:val="fr-FR"/>
              </w:rPr>
              <w:t>Quantité maximale autorisée pour chaque unité de transport selon l’ADR – OCS</w:t>
            </w:r>
          </w:p>
        </w:tc>
      </w:tr>
      <w:tr w:rsidR="00993C56" w:rsidRPr="009C4C41" w:rsidTr="00993C56">
        <w:tc>
          <w:tcPr>
            <w:tcW w:w="1592" w:type="dxa"/>
            <w:shd w:val="clear" w:color="auto" w:fill="F2F2F2" w:themeFill="background1" w:themeFillShade="F2"/>
          </w:tcPr>
          <w:p w:rsidR="00993C56" w:rsidRPr="00993C56" w:rsidRDefault="00993C56" w:rsidP="006E0165">
            <w:pPr>
              <w:pStyle w:val="Tabelle"/>
              <w:overflowPunct w:val="0"/>
              <w:autoSpaceDE w:val="0"/>
              <w:autoSpaceDN w:val="0"/>
              <w:adjustRightInd w:val="0"/>
              <w:spacing w:line="240" w:lineRule="exact"/>
              <w:jc w:val="both"/>
              <w:textAlignment w:val="baseline"/>
              <w:rPr>
                <w:sz w:val="16"/>
                <w:szCs w:val="16"/>
                <w:lang w:val="de-CH"/>
              </w:rPr>
            </w:pPr>
            <w:r w:rsidRPr="00993C56">
              <w:rPr>
                <w:sz w:val="16"/>
                <w:szCs w:val="16"/>
                <w:lang w:val="de-CH"/>
              </w:rPr>
              <w:t>6.2</w:t>
            </w:r>
          </w:p>
        </w:tc>
        <w:tc>
          <w:tcPr>
            <w:tcW w:w="1579" w:type="dxa"/>
            <w:shd w:val="clear" w:color="auto" w:fill="F2F2F2" w:themeFill="background1" w:themeFillShade="F2"/>
          </w:tcPr>
          <w:p w:rsidR="00993C56" w:rsidRPr="00993C56" w:rsidRDefault="00993C56" w:rsidP="006E0165">
            <w:pPr>
              <w:pStyle w:val="Tabelle"/>
              <w:overflowPunct w:val="0"/>
              <w:autoSpaceDE w:val="0"/>
              <w:autoSpaceDN w:val="0"/>
              <w:adjustRightInd w:val="0"/>
              <w:spacing w:line="240" w:lineRule="exact"/>
              <w:jc w:val="both"/>
              <w:textAlignment w:val="baseline"/>
              <w:rPr>
                <w:sz w:val="16"/>
                <w:szCs w:val="16"/>
                <w:lang w:val="de-CH"/>
              </w:rPr>
            </w:pPr>
            <w:r w:rsidRPr="00993C56">
              <w:rPr>
                <w:sz w:val="16"/>
                <w:szCs w:val="16"/>
                <w:lang w:val="de-CH"/>
              </w:rPr>
              <w:t>B</w:t>
            </w:r>
          </w:p>
        </w:tc>
        <w:tc>
          <w:tcPr>
            <w:tcW w:w="1584" w:type="dxa"/>
            <w:shd w:val="clear" w:color="auto" w:fill="F2F2F2" w:themeFill="background1" w:themeFillShade="F2"/>
          </w:tcPr>
          <w:p w:rsidR="00993C56" w:rsidRPr="00993C56" w:rsidRDefault="00993C56" w:rsidP="006E0165">
            <w:pPr>
              <w:pStyle w:val="Tabelle"/>
              <w:overflowPunct w:val="0"/>
              <w:autoSpaceDE w:val="0"/>
              <w:autoSpaceDN w:val="0"/>
              <w:adjustRightInd w:val="0"/>
              <w:spacing w:line="240" w:lineRule="exact"/>
              <w:jc w:val="both"/>
              <w:textAlignment w:val="baseline"/>
              <w:rPr>
                <w:sz w:val="16"/>
                <w:szCs w:val="16"/>
                <w:lang w:val="de-CH"/>
              </w:rPr>
            </w:pPr>
            <w:r w:rsidRPr="00993C56">
              <w:rPr>
                <w:sz w:val="16"/>
                <w:szCs w:val="16"/>
                <w:lang w:val="de-CH"/>
              </w:rPr>
              <w:t>3291</w:t>
            </w:r>
          </w:p>
        </w:tc>
        <w:tc>
          <w:tcPr>
            <w:tcW w:w="727" w:type="dxa"/>
            <w:shd w:val="clear" w:color="auto" w:fill="F2F2F2" w:themeFill="background1" w:themeFillShade="F2"/>
          </w:tcPr>
          <w:p w:rsidR="00993C56" w:rsidRPr="00993C56" w:rsidRDefault="00993C56" w:rsidP="006E0165">
            <w:pPr>
              <w:pStyle w:val="Tabelle"/>
              <w:overflowPunct w:val="0"/>
              <w:autoSpaceDE w:val="0"/>
              <w:autoSpaceDN w:val="0"/>
              <w:adjustRightInd w:val="0"/>
              <w:spacing w:line="240" w:lineRule="exact"/>
              <w:jc w:val="both"/>
              <w:textAlignment w:val="baseline"/>
              <w:rPr>
                <w:sz w:val="16"/>
                <w:szCs w:val="16"/>
                <w:lang w:val="de-CH"/>
              </w:rPr>
            </w:pPr>
            <w:r w:rsidRPr="00993C56">
              <w:rPr>
                <w:sz w:val="16"/>
                <w:szCs w:val="16"/>
                <w:lang w:val="de-CH"/>
              </w:rPr>
              <w:t>II</w:t>
            </w:r>
          </w:p>
        </w:tc>
        <w:tc>
          <w:tcPr>
            <w:tcW w:w="3010" w:type="dxa"/>
            <w:shd w:val="clear" w:color="auto" w:fill="F2F2F2" w:themeFill="background1" w:themeFillShade="F2"/>
          </w:tcPr>
          <w:p w:rsidR="00993C56" w:rsidRPr="009C4C41" w:rsidRDefault="009C4C41" w:rsidP="006E0165">
            <w:pPr>
              <w:pStyle w:val="Tabelle"/>
              <w:overflowPunct w:val="0"/>
              <w:autoSpaceDE w:val="0"/>
              <w:autoSpaceDN w:val="0"/>
              <w:adjustRightInd w:val="0"/>
              <w:spacing w:line="240" w:lineRule="exact"/>
              <w:textAlignment w:val="baseline"/>
              <w:rPr>
                <w:sz w:val="16"/>
                <w:szCs w:val="16"/>
                <w:lang w:val="fr-CH"/>
              </w:rPr>
            </w:pPr>
            <w:r w:rsidRPr="009C4C41">
              <w:rPr>
                <w:sz w:val="16"/>
                <w:szCs w:val="16"/>
                <w:lang w:val="fr-FR"/>
              </w:rPr>
              <w:t xml:space="preserve">Déchets cliniques, non spécifiés, </w:t>
            </w:r>
            <w:proofErr w:type="spellStart"/>
            <w:r w:rsidRPr="009C4C41">
              <w:rPr>
                <w:sz w:val="16"/>
                <w:szCs w:val="16"/>
                <w:lang w:val="fr-FR"/>
              </w:rPr>
              <w:t>n.s.a</w:t>
            </w:r>
            <w:proofErr w:type="spellEnd"/>
            <w:r w:rsidRPr="009C4C41">
              <w:rPr>
                <w:sz w:val="16"/>
                <w:szCs w:val="16"/>
                <w:lang w:val="fr-FR"/>
              </w:rPr>
              <w:t xml:space="preserve"> (déchets animaux)</w:t>
            </w:r>
          </w:p>
        </w:tc>
      </w:tr>
    </w:tbl>
    <w:p w:rsidR="008F1023" w:rsidRPr="008F1023" w:rsidRDefault="008F1023" w:rsidP="008F1023">
      <w:pPr>
        <w:pStyle w:val="07BAFUTabellelinks"/>
        <w:rPr>
          <w:noProof/>
          <w:lang w:val="de-CH"/>
        </w:rPr>
      </w:pPr>
      <w:r w:rsidRPr="008F1023">
        <w:rPr>
          <w:b/>
          <w:noProof/>
          <w:vertAlign w:val="superscript"/>
          <w:lang w:val="de-CH"/>
        </w:rPr>
        <w:t>2</w:t>
      </w:r>
      <w:r w:rsidRPr="008F1023">
        <w:rPr>
          <w:noProof/>
          <w:lang w:val="de-CH"/>
        </w:rPr>
        <w:t xml:space="preserve"> GE = groupe d’emballage</w:t>
      </w:r>
    </w:p>
    <w:p w:rsidR="00993C56" w:rsidRPr="008F1023" w:rsidRDefault="00993C56" w:rsidP="00993C56">
      <w:pPr>
        <w:pStyle w:val="05BAFUGrundschriftAufzhlung"/>
        <w:numPr>
          <w:ilvl w:val="0"/>
          <w:numId w:val="0"/>
        </w:numPr>
      </w:pPr>
    </w:p>
    <w:p w:rsidR="00983B25" w:rsidRPr="008F1023" w:rsidRDefault="00983B25" w:rsidP="00993C56">
      <w:pPr>
        <w:pStyle w:val="05BAFUGrundschriftAufzhlung"/>
        <w:numPr>
          <w:ilvl w:val="0"/>
          <w:numId w:val="0"/>
        </w:numPr>
      </w:pPr>
    </w:p>
    <w:p w:rsidR="00EF1063" w:rsidRDefault="008F1023" w:rsidP="00EF1063">
      <w:pPr>
        <w:pStyle w:val="02BAFUTitelnummeriert"/>
      </w:pPr>
      <w:r>
        <w:t>Interfaces</w:t>
      </w:r>
    </w:p>
    <w:p w:rsidR="008F1023" w:rsidRPr="00FD7BF0" w:rsidRDefault="008F1023" w:rsidP="008F1023">
      <w:pPr>
        <w:pStyle w:val="05BAFUGrundschrift"/>
        <w:rPr>
          <w:lang w:val="fr-FR"/>
        </w:rPr>
      </w:pPr>
      <w:r>
        <w:rPr>
          <w:lang w:val="fr-FR"/>
        </w:rPr>
        <w:t>Lors de l’élimination de déchets contaminés par du matériel biologique, les interfaces avec d’autres concepts de sécurité et d’élimination sont réglées comme suit :</w:t>
      </w:r>
    </w:p>
    <w:p w:rsidR="008F1023" w:rsidRPr="00FD7BF0" w:rsidRDefault="008F1023" w:rsidP="008F1023">
      <w:pPr>
        <w:pStyle w:val="05BAFUGrundschriftAufzhlung"/>
        <w:ind w:left="357" w:hanging="357"/>
        <w:rPr>
          <w:lang w:val="fr-FR"/>
        </w:rPr>
      </w:pPr>
      <w:r w:rsidRPr="00FD7BF0">
        <w:rPr>
          <w:b/>
          <w:lang w:val="fr-FR"/>
        </w:rPr>
        <w:t>Radioa</w:t>
      </w:r>
      <w:r>
        <w:rPr>
          <w:b/>
          <w:lang w:val="fr-FR"/>
        </w:rPr>
        <w:t>ctivité :</w:t>
      </w:r>
      <w:r w:rsidRPr="00FD7BF0">
        <w:rPr>
          <w:lang w:val="fr-FR"/>
        </w:rPr>
        <w:t xml:space="preserve"> </w:t>
      </w:r>
      <w:r>
        <w:rPr>
          <w:lang w:val="fr-FR"/>
        </w:rPr>
        <w:t>les déchets biologiques de niveau de sécurité 2 qui contiennent de la radioactivité doivent d’abord être complètement inactivés avec une quantité suffisante de produit de désinfection, puis être déposés avec les déchets radioactifs correspondants</w:t>
      </w:r>
      <w:r w:rsidRPr="00FD7BF0">
        <w:rPr>
          <w:lang w:val="fr-FR"/>
        </w:rPr>
        <w:t>.</w:t>
      </w:r>
    </w:p>
    <w:p w:rsidR="008F1023" w:rsidRPr="00FD7BF0" w:rsidRDefault="008F1023" w:rsidP="008F1023">
      <w:pPr>
        <w:pStyle w:val="05BAFUGrundschriftAufzhlung"/>
        <w:ind w:left="357" w:hanging="357"/>
        <w:rPr>
          <w:lang w:val="fr-FR"/>
        </w:rPr>
      </w:pPr>
      <w:r>
        <w:rPr>
          <w:b/>
          <w:lang w:val="fr-FR"/>
        </w:rPr>
        <w:t>Produits chimiques :</w:t>
      </w:r>
      <w:r w:rsidRPr="00FD7BF0">
        <w:rPr>
          <w:lang w:val="fr-FR"/>
        </w:rPr>
        <w:t xml:space="preserve"> </w:t>
      </w:r>
      <w:r>
        <w:rPr>
          <w:lang w:val="fr-FR"/>
        </w:rPr>
        <w:t>les déchets biologiques de niveau de sécurité 2 qui contiennent des produits chimiques toxiques ou cancérogènes doivent d’abord être complètement inactivés avec une quantité suffisante de produit désinfection, puis être déposés avec les déchets spéciaux correspondants</w:t>
      </w:r>
      <w:r w:rsidRPr="00FD7BF0">
        <w:rPr>
          <w:lang w:val="fr-FR"/>
        </w:rPr>
        <w:t>.</w:t>
      </w:r>
    </w:p>
    <w:p w:rsidR="008F1023" w:rsidRDefault="008F1023" w:rsidP="008F1023">
      <w:pPr>
        <w:pStyle w:val="05BAFUGrundschriftAufzhlung"/>
        <w:ind w:left="357" w:hanging="357"/>
        <w:rPr>
          <w:lang w:val="fr-FR"/>
        </w:rPr>
      </w:pPr>
      <w:r>
        <w:rPr>
          <w:b/>
          <w:lang w:val="fr-FR"/>
        </w:rPr>
        <w:t>Tri des déchets / recyclage</w:t>
      </w:r>
      <w:r>
        <w:rPr>
          <w:lang w:val="fr-FR"/>
        </w:rPr>
        <w:t xml:space="preserve"> partout où cela s’avère possible, il faut trier les déchets selon les différents groupes de matériaux. Les matériaux récupérables doivent être recyclés</w:t>
      </w:r>
      <w:r w:rsidRPr="00FD7BF0">
        <w:rPr>
          <w:lang w:val="fr-FR"/>
        </w:rPr>
        <w:t>.</w:t>
      </w:r>
    </w:p>
    <w:p w:rsidR="00323F45" w:rsidRDefault="00323F45" w:rsidP="002B0862">
      <w:pPr>
        <w:pStyle w:val="05BAFUGrundschriftAufzhlung"/>
        <w:numPr>
          <w:ilvl w:val="0"/>
          <w:numId w:val="0"/>
        </w:numPr>
      </w:pPr>
    </w:p>
    <w:p w:rsidR="00323F45" w:rsidRDefault="00323F45" w:rsidP="002B0862">
      <w:pPr>
        <w:pStyle w:val="05BAFUGrundschriftAufzhlung"/>
        <w:numPr>
          <w:ilvl w:val="0"/>
          <w:numId w:val="0"/>
        </w:numPr>
      </w:pPr>
    </w:p>
    <w:p w:rsidR="00323F45" w:rsidRDefault="00323F45" w:rsidP="002B0862">
      <w:pPr>
        <w:pStyle w:val="05BAFUGrundschriftAufzhlung"/>
        <w:numPr>
          <w:ilvl w:val="0"/>
          <w:numId w:val="0"/>
        </w:numPr>
      </w:pPr>
    </w:p>
    <w:p w:rsidR="00323F45" w:rsidRDefault="00323F45" w:rsidP="002B0862">
      <w:pPr>
        <w:pStyle w:val="05BAFUGrundschriftAufzhlung"/>
        <w:numPr>
          <w:ilvl w:val="0"/>
          <w:numId w:val="0"/>
        </w:numPr>
      </w:pPr>
    </w:p>
    <w:p w:rsidR="00323F45" w:rsidRDefault="00323F45" w:rsidP="002B0862">
      <w:pPr>
        <w:pStyle w:val="05BAFUGrundschriftAufzhlung"/>
        <w:numPr>
          <w:ilvl w:val="0"/>
          <w:numId w:val="0"/>
        </w:numPr>
      </w:pPr>
    </w:p>
    <w:p w:rsidR="00323F45" w:rsidRDefault="00323F45" w:rsidP="002B0862">
      <w:pPr>
        <w:pStyle w:val="05BAFUGrundschriftAufzhlung"/>
        <w:numPr>
          <w:ilvl w:val="0"/>
          <w:numId w:val="0"/>
        </w:numPr>
      </w:pPr>
    </w:p>
    <w:p w:rsidR="00323F45" w:rsidRDefault="00323F45" w:rsidP="002B0862">
      <w:pPr>
        <w:pStyle w:val="05BAFUGrundschriftAufzhlung"/>
        <w:numPr>
          <w:ilvl w:val="0"/>
          <w:numId w:val="0"/>
        </w:numPr>
      </w:pPr>
    </w:p>
    <w:tbl>
      <w:tblPr>
        <w:tblStyle w:val="Gitternetztabelle2"/>
        <w:tblpPr w:leftFromText="141" w:rightFromText="141" w:vertAnchor="text" w:horzAnchor="margin" w:tblpY="1662"/>
        <w:tblW w:w="9897" w:type="dxa"/>
        <w:tblLayout w:type="fixed"/>
        <w:tblCellMar>
          <w:left w:w="57" w:type="dxa"/>
          <w:right w:w="57" w:type="dxa"/>
        </w:tblCellMar>
        <w:tblLook w:val="04A0" w:firstRow="1" w:lastRow="0" w:firstColumn="1" w:lastColumn="0" w:noHBand="0" w:noVBand="1"/>
      </w:tblPr>
      <w:tblGrid>
        <w:gridCol w:w="2410"/>
        <w:gridCol w:w="7487"/>
      </w:tblGrid>
      <w:tr w:rsidR="00EF1063" w:rsidRPr="00843E20" w:rsidTr="00EF1063">
        <w:trPr>
          <w:cnfStyle w:val="100000000000" w:firstRow="1" w:lastRow="0" w:firstColumn="0" w:lastColumn="0" w:oddVBand="0" w:evenVBand="0" w:oddHBand="0"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2410" w:type="dxa"/>
            <w:tcBorders>
              <w:bottom w:val="nil"/>
              <w:right w:val="single" w:sz="4" w:space="0" w:color="FFFFFF" w:themeColor="background1"/>
            </w:tcBorders>
            <w:shd w:val="clear" w:color="auto" w:fill="F2F2F2" w:themeFill="background1" w:themeFillShade="F2"/>
            <w:vAlign w:val="center"/>
          </w:tcPr>
          <w:p w:rsidR="00EF1063" w:rsidRPr="00CF6289" w:rsidRDefault="008F1023" w:rsidP="00EF1063">
            <w:pPr>
              <w:pStyle w:val="07BAFUTabellelinks"/>
            </w:pPr>
            <w:proofErr w:type="spellStart"/>
            <w:r w:rsidRPr="008F1023">
              <w:rPr>
                <w:color w:val="6C9051" w:themeColor="accent2" w:themeShade="BF"/>
              </w:rPr>
              <w:t>Redige</w:t>
            </w:r>
            <w:proofErr w:type="spellEnd"/>
            <w:r w:rsidRPr="008F1023">
              <w:rPr>
                <w:color w:val="6C9051" w:themeColor="accent2" w:themeShade="BF"/>
              </w:rPr>
              <w:t>/</w:t>
            </w:r>
            <w:proofErr w:type="spellStart"/>
            <w:r w:rsidRPr="008F1023">
              <w:rPr>
                <w:color w:val="6C9051" w:themeColor="accent2" w:themeShade="BF"/>
              </w:rPr>
              <w:t>Approuve</w:t>
            </w:r>
            <w:proofErr w:type="spellEnd"/>
            <w:r w:rsidRPr="008F1023">
              <w:rPr>
                <w:color w:val="6C9051" w:themeColor="accent2" w:themeShade="BF"/>
              </w:rPr>
              <w:t xml:space="preserve"> par</w:t>
            </w:r>
          </w:p>
        </w:tc>
        <w:tc>
          <w:tcPr>
            <w:tcW w:w="7487" w:type="dxa"/>
            <w:tcBorders>
              <w:bottom w:val="nil"/>
              <w:right w:val="single" w:sz="4" w:space="0" w:color="FFFFFF" w:themeColor="background1"/>
            </w:tcBorders>
            <w:shd w:val="clear" w:color="auto" w:fill="F2F2F2" w:themeFill="background1" w:themeFillShade="F2"/>
          </w:tcPr>
          <w:p w:rsidR="00EF1063" w:rsidRPr="00CF6289" w:rsidRDefault="00EF1063" w:rsidP="00EF1063">
            <w:pPr>
              <w:pStyle w:val="07BAFUTabellelinks"/>
              <w:cnfStyle w:val="100000000000" w:firstRow="1" w:lastRow="0" w:firstColumn="0" w:lastColumn="0" w:oddVBand="0" w:evenVBand="0" w:oddHBand="0" w:evenHBand="0" w:firstRowFirstColumn="0" w:firstRowLastColumn="0" w:lastRowFirstColumn="0" w:lastRowLastColumn="0"/>
            </w:pPr>
          </w:p>
        </w:tc>
      </w:tr>
      <w:tr w:rsidR="00EF1063" w:rsidRPr="00843E20" w:rsidTr="00EF1063">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2410" w:type="dxa"/>
            <w:tcBorders>
              <w:top w:val="nil"/>
              <w:bottom w:val="nil"/>
              <w:right w:val="single" w:sz="4" w:space="0" w:color="FFFFFF" w:themeColor="background1"/>
            </w:tcBorders>
            <w:vAlign w:val="center"/>
          </w:tcPr>
          <w:p w:rsidR="00EF1063" w:rsidRPr="00CF6289" w:rsidRDefault="008F1023" w:rsidP="00EF1063">
            <w:pPr>
              <w:pStyle w:val="07BAFUTabellelinks"/>
            </w:pPr>
            <w:r w:rsidRPr="008F1023">
              <w:rPr>
                <w:color w:val="6C9051" w:themeColor="accent2" w:themeShade="BF"/>
              </w:rPr>
              <w:t>Date</w:t>
            </w:r>
          </w:p>
        </w:tc>
        <w:tc>
          <w:tcPr>
            <w:tcW w:w="7487" w:type="dxa"/>
            <w:tcBorders>
              <w:top w:val="nil"/>
              <w:bottom w:val="nil"/>
              <w:right w:val="single" w:sz="4" w:space="0" w:color="FFFFFF" w:themeColor="background1"/>
            </w:tcBorders>
          </w:tcPr>
          <w:p w:rsidR="00EF1063" w:rsidRPr="00CF6289" w:rsidRDefault="00EF1063" w:rsidP="00EF1063">
            <w:pPr>
              <w:pStyle w:val="07BAFUTabellelinks"/>
              <w:cnfStyle w:val="000000100000" w:firstRow="0" w:lastRow="0" w:firstColumn="0" w:lastColumn="0" w:oddVBand="0" w:evenVBand="0" w:oddHBand="1" w:evenHBand="0" w:firstRowFirstColumn="0" w:firstRowLastColumn="0" w:lastRowFirstColumn="0" w:lastRowLastColumn="0"/>
            </w:pPr>
          </w:p>
        </w:tc>
      </w:tr>
    </w:tbl>
    <w:p w:rsidR="00323F45" w:rsidRPr="004E03D2" w:rsidRDefault="00323F45" w:rsidP="002B0862">
      <w:pPr>
        <w:pStyle w:val="05BAFUGrundschriftAufzhlung"/>
        <w:numPr>
          <w:ilvl w:val="0"/>
          <w:numId w:val="0"/>
        </w:numPr>
      </w:pPr>
    </w:p>
    <w:sectPr w:rsidR="00323F45" w:rsidRPr="004E03D2" w:rsidSect="00423618">
      <w:pgSz w:w="11906" w:h="16838" w:code="9"/>
      <w:pgMar w:top="852" w:right="1021" w:bottom="794" w:left="1159" w:header="845"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00C6" w:rsidRDefault="002B00C6" w:rsidP="00DE38F1">
      <w:pPr>
        <w:spacing w:after="0" w:line="240" w:lineRule="auto"/>
      </w:pPr>
      <w:r>
        <w:separator/>
      </w:r>
    </w:p>
  </w:endnote>
  <w:endnote w:type="continuationSeparator" w:id="0">
    <w:p w:rsidR="002B00C6" w:rsidRDefault="002B00C6" w:rsidP="00DE3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00C6" w:rsidRDefault="002B00C6" w:rsidP="00DE38F1">
      <w:pPr>
        <w:spacing w:after="0" w:line="240" w:lineRule="auto"/>
      </w:pPr>
    </w:p>
  </w:footnote>
  <w:footnote w:type="continuationSeparator" w:id="0">
    <w:p w:rsidR="002B00C6" w:rsidRDefault="002B00C6" w:rsidP="00DE38F1">
      <w:pPr>
        <w:spacing w:after="0" w:line="240" w:lineRule="auto"/>
      </w:pPr>
      <w:r>
        <w:continuationSeparator/>
      </w:r>
    </w:p>
  </w:footnote>
  <w:footnote w:id="1">
    <w:p w:rsidR="00C951A6" w:rsidRPr="000307C7" w:rsidRDefault="00C951A6" w:rsidP="000307C7">
      <w:pPr>
        <w:pStyle w:val="05BAFUFussnote"/>
        <w:rPr>
          <w:lang w:val="fr-CH"/>
        </w:rPr>
      </w:pPr>
      <w:r w:rsidRPr="00AC6A16">
        <w:rPr>
          <w:rStyle w:val="Funotenzeichen"/>
          <w:lang w:val="fr-FR"/>
        </w:rPr>
        <w:footnoteRef/>
      </w:r>
      <w:r w:rsidR="000307C7" w:rsidRPr="000307C7">
        <w:rPr>
          <w:lang w:val="fr-CH"/>
        </w:rPr>
        <w:t xml:space="preserve"> </w:t>
      </w:r>
      <w:r w:rsidRPr="000307C7">
        <w:rPr>
          <w:lang w:val="fr-CH"/>
        </w:rPr>
        <w:t>Si ce type de déchets n’est pas produit dans l’entreprise, ce chapitre peut être supprimé.</w:t>
      </w:r>
    </w:p>
  </w:footnote>
  <w:footnote w:id="2">
    <w:p w:rsidR="000307C7" w:rsidRPr="000307C7" w:rsidRDefault="000307C7" w:rsidP="000307C7">
      <w:pPr>
        <w:pStyle w:val="05BAFUFussnote"/>
        <w:rPr>
          <w:lang w:val="fr-CH"/>
        </w:rPr>
      </w:pPr>
      <w:r w:rsidRPr="00AC6A16">
        <w:rPr>
          <w:rStyle w:val="Funotenzeichen"/>
          <w:lang w:val="fr-FR"/>
        </w:rPr>
        <w:footnoteRef/>
      </w:r>
      <w:r w:rsidRPr="000307C7">
        <w:rPr>
          <w:lang w:val="fr-CH"/>
        </w:rPr>
        <w:t xml:space="preserve"> Voir à ce sujet les pages 6 et 14 </w:t>
      </w:r>
      <w:proofErr w:type="spellStart"/>
      <w:r w:rsidRPr="000307C7">
        <w:rPr>
          <w:lang w:val="fr-CH"/>
        </w:rPr>
        <w:t>ss</w:t>
      </w:r>
      <w:proofErr w:type="spellEnd"/>
      <w:r w:rsidRPr="000307C7">
        <w:rPr>
          <w:lang w:val="fr-CH"/>
        </w:rPr>
        <w:t xml:space="preserve"> de la recommandation de la CFSB concernant le traitement et l’élimination des déchets produits lors de l’utilisation d’organismes génétiquement modifiés ou pathogènes en milieu confiné, 2009 (actualisée avril 2017) ; Commission fédérale d’experts pour la sécurité biologique, c/o Office fédéral de l’environnement, CH-3003 Berne ; source : </w:t>
      </w:r>
      <w:hyperlink r:id="rId1" w:history="1">
        <w:r w:rsidRPr="000307C7">
          <w:rPr>
            <w:lang w:val="fr-CH"/>
          </w:rPr>
          <w:t>https://www.efbs.admin.ch/inhalte/dokumentation/empfehlungen/Empfehlungen_aktuell/Abfall_EFBS_F.pdf</w:t>
        </w:r>
        <w:r w:rsidRPr="000307C7" w:rsidDel="00F860AD">
          <w:rPr>
            <w:lang w:val="fr-CH"/>
          </w:rPr>
          <w:t xml:space="preserve"> </w:t>
        </w:r>
      </w:hyperlink>
      <w:r w:rsidRPr="000307C7">
        <w:rPr>
          <w:lang w:val="fr-CH"/>
        </w:rPr>
        <w:t xml:space="preserve"> </w:t>
      </w:r>
    </w:p>
  </w:footnote>
  <w:footnote w:id="3">
    <w:p w:rsidR="000307C7" w:rsidRPr="00707EDE" w:rsidRDefault="000307C7" w:rsidP="000307C7">
      <w:pPr>
        <w:pStyle w:val="05BAFUFussnote"/>
        <w:rPr>
          <w:lang w:val="fr-CH"/>
        </w:rPr>
      </w:pPr>
      <w:r w:rsidRPr="00AC6A16">
        <w:rPr>
          <w:rStyle w:val="Funotenzeichen"/>
          <w:lang w:val="fr-FR"/>
        </w:rPr>
        <w:footnoteRef/>
      </w:r>
      <w:r w:rsidRPr="00707EDE">
        <w:rPr>
          <w:lang w:val="fr-CH"/>
        </w:rPr>
        <w:t xml:space="preserve"> </w:t>
      </w:r>
      <w:proofErr w:type="gramStart"/>
      <w:r w:rsidRPr="00707EDE">
        <w:rPr>
          <w:lang w:val="fr-CH"/>
        </w:rPr>
        <w:t>ordonnance</w:t>
      </w:r>
      <w:proofErr w:type="gramEnd"/>
      <w:r w:rsidRPr="00707EDE">
        <w:rPr>
          <w:lang w:val="fr-CH"/>
        </w:rPr>
        <w:t xml:space="preserve"> du 22 juin 2005 sur les mouvements de déchets (</w:t>
      </w:r>
      <w:hyperlink r:id="rId2" w:history="1">
        <w:r w:rsidRPr="00CA5AD3">
          <w:rPr>
            <w:rStyle w:val="Hyperlink"/>
            <w:i w:val="0"/>
            <w:smallCaps/>
            <w:lang w:val="fr-FR"/>
          </w:rPr>
          <w:t>OMoD ; R</w:t>
        </w:r>
        <w:r>
          <w:rPr>
            <w:rStyle w:val="Hyperlink"/>
            <w:i w:val="0"/>
            <w:smallCaps/>
            <w:lang w:val="fr-FR"/>
          </w:rPr>
          <w:t>S</w:t>
        </w:r>
        <w:r w:rsidRPr="00CA5AD3">
          <w:rPr>
            <w:rStyle w:val="Hyperlink"/>
            <w:i w:val="0"/>
            <w:smallCaps/>
            <w:lang w:val="fr-FR"/>
          </w:rPr>
          <w:t xml:space="preserve"> 814.610</w:t>
        </w:r>
      </w:hyperlink>
      <w:r w:rsidRPr="00707EDE">
        <w:rPr>
          <w:lang w:val="fr-CH"/>
        </w:rPr>
        <w:t>).</w:t>
      </w:r>
      <w:r w:rsidRPr="00707EDE">
        <w:rPr>
          <w:lang w:val="fr-CH"/>
        </w:rPr>
        <w:br/>
      </w:r>
      <w:proofErr w:type="gramStart"/>
      <w:r w:rsidRPr="00707EDE">
        <w:rPr>
          <w:lang w:val="fr-CH"/>
        </w:rPr>
        <w:t>voir:</w:t>
      </w:r>
      <w:proofErr w:type="gramEnd"/>
      <w:r w:rsidRPr="00707EDE">
        <w:rPr>
          <w:lang w:val="fr-CH"/>
        </w:rPr>
        <w:t xml:space="preserve"> www.bafu.admin.ch » </w:t>
      </w:r>
      <w:hyperlink r:id="rId3" w:history="1">
        <w:r w:rsidRPr="00707EDE">
          <w:rPr>
            <w:lang w:val="fr-CH"/>
          </w:rPr>
          <w:t>Index</w:t>
        </w:r>
      </w:hyperlink>
      <w:r w:rsidRPr="00707EDE">
        <w:rPr>
          <w:rFonts w:ascii="ArialMT" w:hAnsi="ArialMT"/>
          <w:lang w:val="fr-CH"/>
        </w:rPr>
        <w:t xml:space="preserve"> thématique</w:t>
      </w:r>
      <w:r w:rsidRPr="00707EDE">
        <w:rPr>
          <w:lang w:val="fr-CH"/>
        </w:rPr>
        <w:t xml:space="preserve"> »Déchets » Bases </w:t>
      </w:r>
      <w:proofErr w:type="spellStart"/>
      <w:r w:rsidRPr="00707EDE">
        <w:rPr>
          <w:lang w:val="fr-CH"/>
        </w:rPr>
        <w:t>legales</w:t>
      </w:r>
      <w:proofErr w:type="spellEnd"/>
      <w:r w:rsidRPr="00707EDE">
        <w:rPr>
          <w:lang w:val="fr-CH"/>
        </w:rPr>
        <w:t xml:space="preserve"> » Lois et ordonnances</w:t>
      </w:r>
    </w:p>
  </w:footnote>
  <w:footnote w:id="4">
    <w:p w:rsidR="00F03E15" w:rsidRPr="00AC6A16" w:rsidRDefault="00F03E15" w:rsidP="00F03E15">
      <w:pPr>
        <w:pStyle w:val="Funotentext"/>
        <w:ind w:left="454" w:hanging="454"/>
        <w:rPr>
          <w:lang w:val="fr-FR"/>
        </w:rPr>
      </w:pPr>
      <w:r w:rsidRPr="00AC6A16">
        <w:rPr>
          <w:rStyle w:val="Funotenzeichen"/>
          <w:lang w:val="fr-FR"/>
        </w:rPr>
        <w:footnoteRef/>
      </w:r>
      <w:r w:rsidRPr="00AC6A16">
        <w:rPr>
          <w:lang w:val="fr-FR"/>
        </w:rPr>
        <w:t xml:space="preserve"> </w:t>
      </w:r>
      <w:r w:rsidRPr="00AC6A16">
        <w:rPr>
          <w:lang w:val="fr-FR"/>
        </w:rPr>
        <w:tab/>
      </w:r>
      <w:r>
        <w:rPr>
          <w:i/>
          <w:smallCaps/>
          <w:color w:val="008080"/>
          <w:lang w:val="fr-FR"/>
        </w:rPr>
        <w:t>Si l’entreprise ne produit pas de déchets animaux, ce chapitre peut être supprimé</w:t>
      </w:r>
      <w:r w:rsidRPr="00AC6A16">
        <w:rPr>
          <w:i/>
          <w:smallCaps/>
          <w:color w:val="008080"/>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3C2" w:rsidRPr="00D146C7" w:rsidRDefault="003A43C2" w:rsidP="00D146C7">
    <w:pPr>
      <w:pStyle w:val="99BAFUKopfzeileGrau"/>
      <w:rPr>
        <w:lang w:val="fr-CH"/>
      </w:rPr>
    </w:pPr>
    <w:r w:rsidRPr="00D146C7">
      <w:rPr>
        <w:noProof/>
        <w:lang w:val="fr-CH"/>
      </w:rPr>
      <w:t>An</w:t>
    </w:r>
    <w:r w:rsidR="00DB1D3E" w:rsidRPr="00D146C7">
      <w:rPr>
        <w:noProof/>
        <w:lang w:val="fr-CH"/>
      </w:rPr>
      <w:t>nexe</w:t>
    </w:r>
    <w:r w:rsidRPr="00D146C7">
      <w:rPr>
        <w:noProof/>
        <w:lang w:val="fr-CH"/>
      </w:rPr>
      <w:t xml:space="preserve"> 1</w:t>
    </w:r>
    <w:r w:rsidR="00737F18" w:rsidRPr="00D146C7">
      <w:rPr>
        <w:noProof/>
        <w:lang w:val="fr-CH"/>
      </w:rPr>
      <w:t>4</w:t>
    </w:r>
    <w:r w:rsidRPr="00D146C7">
      <w:rPr>
        <w:noProof/>
        <w:lang w:val="fr-CH"/>
      </w:rPr>
      <w:t xml:space="preserve">. </w:t>
    </w:r>
    <w:r w:rsidR="00D146C7" w:rsidRPr="0045413E">
      <w:rPr>
        <w:lang w:val="fr-FR"/>
      </w:rPr>
      <w:t>Concept de sécurité au sens de l’OUC et de l’OPTM pour les laboratoires de niveau</w:t>
    </w:r>
    <w:r w:rsidR="00D146C7">
      <w:rPr>
        <w:lang w:val="fr-FR"/>
      </w:rPr>
      <w:t> </w:t>
    </w:r>
    <w:proofErr w:type="gramStart"/>
    <w:r w:rsidR="00D146C7" w:rsidRPr="0045413E">
      <w:rPr>
        <w:lang w:val="fr-FR"/>
      </w:rPr>
      <w:t>2</w:t>
    </w:r>
    <w:r w:rsidRPr="00D146C7">
      <w:rPr>
        <w:rStyle w:val="99Kopfzeilegrau"/>
        <w:lang w:val="fr-CH"/>
      </w:rPr>
      <w:t xml:space="preserve"> </w:t>
    </w:r>
    <w:r w:rsidR="00D146C7">
      <w:rPr>
        <w:rStyle w:val="99Kopfzeilegrau"/>
        <w:lang w:val="fr-CH"/>
      </w:rPr>
      <w:t xml:space="preserve"> </w:t>
    </w:r>
    <w:r w:rsidRPr="00D146C7">
      <w:rPr>
        <w:rStyle w:val="99Kopfzeilegrau"/>
        <w:lang w:val="fr-CH"/>
      </w:rPr>
      <w:t>©</w:t>
    </w:r>
    <w:proofErr w:type="gramEnd"/>
    <w:r w:rsidRPr="00D146C7">
      <w:rPr>
        <w:rStyle w:val="99Kopfzeilegrau"/>
        <w:lang w:val="fr-CH"/>
      </w:rPr>
      <w:t xml:space="preserve"> </w:t>
    </w:r>
    <w:r w:rsidR="00D146C7">
      <w:rPr>
        <w:rStyle w:val="99Kopfzeilegrau"/>
        <w:lang w:val="fr-CH"/>
      </w:rPr>
      <w:t>OFEV</w:t>
    </w:r>
    <w:r w:rsidRPr="00D146C7">
      <w:rPr>
        <w:rStyle w:val="99Kopfzeilegrau"/>
        <w:lang w:val="fr-CH"/>
      </w:rPr>
      <w:t xml:space="preserve"> 2019</w:t>
    </w:r>
    <w:r w:rsidRPr="00D146C7">
      <w:rPr>
        <w:lang w:val="fr-CH"/>
      </w:rPr>
      <w:tab/>
    </w:r>
    <w:r>
      <w:fldChar w:fldCharType="begin"/>
    </w:r>
    <w:r w:rsidRPr="00D146C7">
      <w:rPr>
        <w:lang w:val="fr-CH"/>
      </w:rPr>
      <w:instrText>PAGE   \* MERGEFORMAT</w:instrText>
    </w:r>
    <w:r>
      <w:fldChar w:fldCharType="separate"/>
    </w:r>
    <w:r w:rsidR="003C14B9">
      <w:rPr>
        <w:noProof/>
        <w:lang w:val="fr-CH"/>
      </w:rPr>
      <w:t>2</w:t>
    </w:r>
    <w:r>
      <w:fldChar w:fldCharType="end"/>
    </w:r>
  </w:p>
  <w:p w:rsidR="003A43C2" w:rsidRPr="00D146C7" w:rsidRDefault="003A43C2" w:rsidP="00423618">
    <w:pPr>
      <w:pStyle w:val="99BAFUSatzspiegellinie"/>
      <w:tabs>
        <w:tab w:val="clear" w:pos="9072"/>
        <w:tab w:val="left" w:pos="1038"/>
      </w:tabs>
      <w:rPr>
        <w:lang w:val="fr-CH"/>
      </w:rPr>
    </w:pPr>
  </w:p>
  <w:p w:rsidR="003A43C2" w:rsidRPr="00D146C7" w:rsidRDefault="003A43C2" w:rsidP="00423618">
    <w:pPr>
      <w:pStyle w:val="Kopfzeile"/>
      <w:rPr>
        <w:lang w:val="fr-CH"/>
      </w:rPr>
    </w:pPr>
  </w:p>
  <w:p w:rsidR="003A43C2" w:rsidRPr="00D146C7" w:rsidRDefault="003A43C2">
    <w:pPr>
      <w:pStyle w:val="Kopfzeile"/>
      <w:rPr>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3C2" w:rsidRDefault="003A43C2" w:rsidP="000B52E9">
    <w:pPr>
      <w:pStyle w:val="Kopfzeile"/>
      <w:tabs>
        <w:tab w:val="clear" w:pos="9072"/>
        <w:tab w:val="right" w:pos="14742"/>
      </w:tabs>
    </w:pPr>
    <w:r>
      <w:rPr>
        <w:noProof/>
      </w:rPr>
      <w:t>Anhang 1</w:t>
    </w:r>
    <w:r w:rsidR="0088219E">
      <w:rPr>
        <w:noProof/>
      </w:rPr>
      <w:t>4</w:t>
    </w:r>
    <w:r>
      <w:rPr>
        <w:noProof/>
      </w:rPr>
      <w:t>. Betriebliches Sicherheitskonzept nach der Einschliessungsverordnung (ESV)</w:t>
    </w:r>
    <w:r w:rsidRPr="00BD7ACA">
      <w:rPr>
        <w:rStyle w:val="99Kopfzeilegrau"/>
      </w:rPr>
      <w:t xml:space="preserve"> © BAFU </w:t>
    </w:r>
    <w:r>
      <w:rPr>
        <w:rStyle w:val="99Kopfzeilegrau"/>
      </w:rPr>
      <w:t>2019</w:t>
    </w:r>
    <w:r>
      <w:tab/>
    </w:r>
    <w:r>
      <w:fldChar w:fldCharType="begin"/>
    </w:r>
    <w:r>
      <w:instrText>PAGE   \* MERGEFORMAT</w:instrText>
    </w:r>
    <w:r>
      <w:fldChar w:fldCharType="separate"/>
    </w:r>
    <w:r w:rsidR="003C14B9">
      <w:rPr>
        <w:noProof/>
      </w:rPr>
      <w:t>6</w:t>
    </w:r>
    <w:r>
      <w:fldChar w:fldCharType="end"/>
    </w:r>
  </w:p>
  <w:p w:rsidR="003A43C2" w:rsidRPr="00084994" w:rsidRDefault="003A43C2" w:rsidP="00423618">
    <w:pPr>
      <w:pStyle w:val="99BAFUSatzspiegellinie"/>
      <w:tabs>
        <w:tab w:val="clear" w:pos="9072"/>
        <w:tab w:val="left" w:pos="2338"/>
      </w:tabs>
    </w:pPr>
    <w:r>
      <w:tab/>
    </w:r>
  </w:p>
  <w:p w:rsidR="003A43C2" w:rsidRDefault="003A43C2" w:rsidP="00423618">
    <w:pPr>
      <w:pStyle w:val="Kopfzeile"/>
    </w:pPr>
  </w:p>
  <w:p w:rsidR="003A43C2" w:rsidRPr="00423618" w:rsidRDefault="003A43C2" w:rsidP="00423618">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0"/>
    <w:lvl w:ilvl="0">
      <w:start w:val="1"/>
      <w:numFmt w:val="bullet"/>
      <w:lvlText w:val=""/>
      <w:lvlJc w:val="left"/>
      <w:pPr>
        <w:tabs>
          <w:tab w:val="num" w:pos="1134"/>
        </w:tabs>
        <w:ind w:left="1134" w:hanging="567"/>
      </w:pPr>
      <w:rPr>
        <w:rFonts w:ascii="Wingdings" w:hAnsi="Wingdings" w:hint="default"/>
      </w:rPr>
    </w:lvl>
  </w:abstractNum>
  <w:abstractNum w:abstractNumId="1" w15:restartNumberingAfterBreak="0">
    <w:nsid w:val="04A14AA1"/>
    <w:multiLevelType w:val="hybridMultilevel"/>
    <w:tmpl w:val="56C64E92"/>
    <w:lvl w:ilvl="0" w:tplc="B68EDB86">
      <w:start w:val="1"/>
      <w:numFmt w:val="bullet"/>
      <w:pStyle w:val="05BAFUGrundschriftAufzhlungletzte"/>
      <w:lvlText w:val="·"/>
      <w:lvlJc w:val="left"/>
      <w:pPr>
        <w:ind w:left="360" w:hanging="360"/>
      </w:pPr>
      <w:rPr>
        <w:rFonts w:ascii="Arial" w:hAnsi="Arial" w:hint="default"/>
        <w:b/>
        <w:i w:val="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2D03AA"/>
    <w:multiLevelType w:val="hybridMultilevel"/>
    <w:tmpl w:val="2A16E2A8"/>
    <w:lvl w:ilvl="0" w:tplc="989895F0">
      <w:start w:val="1"/>
      <w:numFmt w:val="bullet"/>
      <w:lvlText w:val="–"/>
      <w:lvlJc w:val="left"/>
      <w:pPr>
        <w:ind w:left="720" w:hanging="360"/>
      </w:pPr>
      <w:rPr>
        <w:rFonts w:ascii="Times New Roman" w:hAnsi="Times New Roman" w:cs="Times New Roman" w:hint="default"/>
      </w:rPr>
    </w:lvl>
    <w:lvl w:ilvl="1" w:tplc="FD3ECA74">
      <w:start w:val="1"/>
      <w:numFmt w:val="bullet"/>
      <w:pStyle w:val="05BAFUGrundschriftAufzhlung2Hierarchie"/>
      <w:lvlText w:val="–"/>
      <w:lvlJc w:val="left"/>
      <w:pPr>
        <w:ind w:left="1440" w:hanging="360"/>
      </w:pPr>
      <w:rPr>
        <w:rFonts w:ascii="Arial" w:hAnsi="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2522321E"/>
    <w:multiLevelType w:val="multilevel"/>
    <w:tmpl w:val="9B0E14BC"/>
    <w:styleLink w:val="BAFUTitelhierarchie"/>
    <w:lvl w:ilvl="0">
      <w:start w:val="1"/>
      <w:numFmt w:val="decimal"/>
      <w:suff w:val="space"/>
      <w:lvlText w:val="%1  "/>
      <w:lvlJc w:val="left"/>
      <w:pPr>
        <w:ind w:left="0" w:firstLine="0"/>
      </w:pPr>
      <w:rPr>
        <w:rFonts w:ascii="Arial" w:hAnsi="Arial" w:hint="default"/>
        <w:b/>
        <w:i w:val="0"/>
        <w:color w:val="000000" w:themeColor="text1"/>
        <w:sz w:val="60"/>
      </w:rPr>
    </w:lvl>
    <w:lvl w:ilvl="1">
      <w:start w:val="1"/>
      <w:numFmt w:val="decimal"/>
      <w:suff w:val="space"/>
      <w:lvlText w:val="%2.%1"/>
      <w:lvlJc w:val="left"/>
      <w:pPr>
        <w:ind w:left="0" w:firstLine="0"/>
      </w:pPr>
      <w:rPr>
        <w:rFonts w:ascii="Arial" w:hAnsi="Arial" w:hint="default"/>
        <w:b/>
        <w:i w:val="0"/>
        <w:sz w:val="24"/>
      </w:rPr>
    </w:lvl>
    <w:lvl w:ilvl="2">
      <w:start w:val="1"/>
      <w:numFmt w:val="decimal"/>
      <w:suff w:val="space"/>
      <w:lvlText w:val="%1.%2.%3"/>
      <w:lvlJc w:val="right"/>
      <w:pPr>
        <w:ind w:left="0" w:firstLine="0"/>
      </w:pPr>
      <w:rPr>
        <w:rFonts w:hint="default"/>
      </w:rPr>
    </w:lvl>
    <w:lvl w:ilvl="3">
      <w:start w:val="1"/>
      <w:numFmt w:val="decimal"/>
      <w:suff w:val="space"/>
      <w:lvlText w:val="%1.%2.%3.%4"/>
      <w:lvlJc w:val="left"/>
      <w:pPr>
        <w:ind w:left="0" w:firstLine="0"/>
      </w:pPr>
      <w:rPr>
        <w:rFonts w:ascii="Arial" w:hAnsi="Arial" w:hint="default"/>
        <w:b w:val="0"/>
        <w:i w:val="0"/>
        <w:sz w:val="20"/>
      </w:rPr>
    </w:lvl>
    <w:lvl w:ilvl="4">
      <w:start w:val="1"/>
      <w:numFmt w:val="decimal"/>
      <w:suff w:val="space"/>
      <w:lvlText w:val="%5."/>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4" w15:restartNumberingAfterBreak="0">
    <w:nsid w:val="2A8618D9"/>
    <w:multiLevelType w:val="hybridMultilevel"/>
    <w:tmpl w:val="D5A25C10"/>
    <w:lvl w:ilvl="0" w:tplc="C26C30C4">
      <w:start w:val="1"/>
      <w:numFmt w:val="bullet"/>
      <w:pStyle w:val="05BAFUGrundschriftAufzhlung"/>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2FF4580C"/>
    <w:multiLevelType w:val="hybridMultilevel"/>
    <w:tmpl w:val="6FB27E2A"/>
    <w:lvl w:ilvl="0" w:tplc="05E0BE26">
      <w:start w:val="1"/>
      <w:numFmt w:val="bullet"/>
      <w:pStyle w:val="07BAFUTabellelinksmitAufzhlung"/>
      <w:lvlText w:val="•"/>
      <w:lvlJc w:val="left"/>
      <w:pPr>
        <w:ind w:left="360" w:hanging="360"/>
      </w:pPr>
      <w:rPr>
        <w:rFonts w:ascii="Arial" w:hAnsi="Arial" w:hint="default"/>
        <w:position w:val="2"/>
        <w:sz w:val="1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6C09665D"/>
    <w:multiLevelType w:val="multilevel"/>
    <w:tmpl w:val="9AFC3FCC"/>
    <w:lvl w:ilvl="0">
      <w:start w:val="1"/>
      <w:numFmt w:val="decimal"/>
      <w:pStyle w:val="01BAFUKapiteltitelnummeriert"/>
      <w:suff w:val="nothing"/>
      <w:lvlText w:val="%1  "/>
      <w:lvlJc w:val="left"/>
      <w:pPr>
        <w:ind w:left="283" w:firstLine="0"/>
      </w:pPr>
      <w:rPr>
        <w:rFonts w:ascii="Arial" w:hAnsi="Arial" w:hint="default"/>
        <w:b/>
        <w:i w:val="0"/>
        <w:color w:val="B6BDBB"/>
        <w:sz w:val="60"/>
      </w:rPr>
    </w:lvl>
    <w:lvl w:ilvl="1">
      <w:start w:val="1"/>
      <w:numFmt w:val="decimal"/>
      <w:suff w:val="nothing"/>
      <w:lvlText w:val="%2.%1  "/>
      <w:lvlJc w:val="left"/>
      <w:pPr>
        <w:ind w:left="0" w:firstLine="0"/>
      </w:pPr>
      <w:rPr>
        <w:rFonts w:ascii="Arial" w:hAnsi="Arial" w:hint="default"/>
        <w:b/>
        <w:i w:val="0"/>
        <w:sz w:val="24"/>
      </w:rPr>
    </w:lvl>
    <w:lvl w:ilvl="2">
      <w:start w:val="1"/>
      <w:numFmt w:val="decimal"/>
      <w:suff w:val="nothing"/>
      <w:lvlText w:val="%1.%2.%3  "/>
      <w:lvlJc w:val="left"/>
      <w:pPr>
        <w:ind w:left="0" w:firstLine="0"/>
      </w:pPr>
      <w:rPr>
        <w:rFonts w:hint="default"/>
      </w:rPr>
    </w:lvl>
    <w:lvl w:ilvl="3">
      <w:start w:val="1"/>
      <w:numFmt w:val="decimal"/>
      <w:suff w:val="nothing"/>
      <w:lvlText w:val="%1.%2.%3.%4  "/>
      <w:lvlJc w:val="left"/>
      <w:pPr>
        <w:ind w:left="0" w:firstLine="0"/>
      </w:pPr>
      <w:rPr>
        <w:rFonts w:ascii="Arial" w:hAnsi="Arial" w:hint="default"/>
        <w:b w:val="0"/>
        <w:i w:val="0"/>
        <w:sz w:val="20"/>
      </w:rPr>
    </w:lvl>
    <w:lvl w:ilvl="4">
      <w:start w:val="1"/>
      <w:numFmt w:val="decimal"/>
      <w:suff w:val="nothing"/>
      <w:lvlText w:val="%1.%2.%3.%4.%5  "/>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7" w15:restartNumberingAfterBreak="0">
    <w:nsid w:val="7DE22146"/>
    <w:multiLevelType w:val="hybridMultilevel"/>
    <w:tmpl w:val="BAEC90EE"/>
    <w:lvl w:ilvl="0" w:tplc="39A6101E">
      <w:start w:val="1"/>
      <w:numFmt w:val="decimal"/>
      <w:pStyle w:val="02BAFUTitelnummeriert"/>
      <w:lvlText w:val="%1."/>
      <w:lvlJc w:val="left"/>
      <w:pPr>
        <w:ind w:left="360" w:hanging="360"/>
      </w:pPr>
      <w:rPr>
        <w:rFonts w:ascii="Arial" w:hAnsi="Arial" w:hint="default"/>
        <w:b/>
        <w:i w:val="0"/>
        <w:sz w:val="24"/>
      </w:rPr>
    </w:lvl>
    <w:lvl w:ilvl="1" w:tplc="08070019" w:tentative="1">
      <w:start w:val="1"/>
      <w:numFmt w:val="lowerLetter"/>
      <w:lvlText w:val="%2."/>
      <w:lvlJc w:val="left"/>
      <w:pPr>
        <w:ind w:left="1440" w:hanging="360"/>
      </w:pPr>
    </w:lvl>
    <w:lvl w:ilvl="2" w:tplc="0807001B">
      <w:start w:val="1"/>
      <w:numFmt w:val="lowerRoman"/>
      <w:pStyle w:val="03BAFUUntertitelnummeriert"/>
      <w:lvlText w:val="%3."/>
      <w:lvlJc w:val="right"/>
      <w:pPr>
        <w:ind w:left="2160" w:hanging="180"/>
      </w:pPr>
    </w:lvl>
    <w:lvl w:ilvl="3" w:tplc="0807000F">
      <w:start w:val="1"/>
      <w:numFmt w:val="decimal"/>
      <w:pStyle w:val="04BAFUUntertitelnummerietStufe2"/>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2"/>
  </w:num>
  <w:num w:numId="5">
    <w:abstractNumId w:val="5"/>
  </w:num>
  <w:num w:numId="6">
    <w:abstractNumId w:val="7"/>
  </w:num>
  <w:num w:numId="7">
    <w:abstractNumId w:val="4"/>
  </w:num>
  <w:num w:numId="8">
    <w:abstractNumId w:val="4"/>
  </w:num>
  <w:num w:numId="9">
    <w:abstractNumId w:val="7"/>
  </w:num>
  <w:num w:numId="10">
    <w:abstractNumId w:val="4"/>
  </w:num>
  <w:num w:numId="11">
    <w:abstractNumId w:val="7"/>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SortMethod w:val="00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C68"/>
    <w:rsid w:val="00002B76"/>
    <w:rsid w:val="000159CF"/>
    <w:rsid w:val="0002726B"/>
    <w:rsid w:val="000307C7"/>
    <w:rsid w:val="000508B2"/>
    <w:rsid w:val="000512CD"/>
    <w:rsid w:val="00054899"/>
    <w:rsid w:val="000568A8"/>
    <w:rsid w:val="000731DA"/>
    <w:rsid w:val="00077CC3"/>
    <w:rsid w:val="00084994"/>
    <w:rsid w:val="00087890"/>
    <w:rsid w:val="000904E5"/>
    <w:rsid w:val="000A1656"/>
    <w:rsid w:val="000B52E9"/>
    <w:rsid w:val="000C7E51"/>
    <w:rsid w:val="000D6AEE"/>
    <w:rsid w:val="000E0AFD"/>
    <w:rsid w:val="000E452C"/>
    <w:rsid w:val="000E45B2"/>
    <w:rsid w:val="00114F0A"/>
    <w:rsid w:val="0011540C"/>
    <w:rsid w:val="00137A4D"/>
    <w:rsid w:val="0014129F"/>
    <w:rsid w:val="00141E0E"/>
    <w:rsid w:val="00151AA2"/>
    <w:rsid w:val="00153C5B"/>
    <w:rsid w:val="00153F00"/>
    <w:rsid w:val="00153F2E"/>
    <w:rsid w:val="001616BD"/>
    <w:rsid w:val="001651FF"/>
    <w:rsid w:val="00166B18"/>
    <w:rsid w:val="001710A2"/>
    <w:rsid w:val="00171342"/>
    <w:rsid w:val="00174045"/>
    <w:rsid w:val="001773BB"/>
    <w:rsid w:val="00194DC9"/>
    <w:rsid w:val="001A44A2"/>
    <w:rsid w:val="001B0A0B"/>
    <w:rsid w:val="001B43F2"/>
    <w:rsid w:val="001C0228"/>
    <w:rsid w:val="001C1F8F"/>
    <w:rsid w:val="001C37D6"/>
    <w:rsid w:val="001C5CBC"/>
    <w:rsid w:val="001D5333"/>
    <w:rsid w:val="001D571F"/>
    <w:rsid w:val="001D5784"/>
    <w:rsid w:val="001E08D4"/>
    <w:rsid w:val="001E33A5"/>
    <w:rsid w:val="001F376D"/>
    <w:rsid w:val="001F3837"/>
    <w:rsid w:val="00203AE3"/>
    <w:rsid w:val="00206A92"/>
    <w:rsid w:val="0022112A"/>
    <w:rsid w:val="0023102C"/>
    <w:rsid w:val="00252555"/>
    <w:rsid w:val="00256463"/>
    <w:rsid w:val="002677B6"/>
    <w:rsid w:val="00267CF3"/>
    <w:rsid w:val="00276DDF"/>
    <w:rsid w:val="00284FE3"/>
    <w:rsid w:val="00286B19"/>
    <w:rsid w:val="002A0483"/>
    <w:rsid w:val="002B00C6"/>
    <w:rsid w:val="002B0862"/>
    <w:rsid w:val="002C7AD1"/>
    <w:rsid w:val="002E6D7E"/>
    <w:rsid w:val="002F1914"/>
    <w:rsid w:val="00303E74"/>
    <w:rsid w:val="0030499A"/>
    <w:rsid w:val="00312C36"/>
    <w:rsid w:val="003176A2"/>
    <w:rsid w:val="00323F45"/>
    <w:rsid w:val="00340CA8"/>
    <w:rsid w:val="00342FD2"/>
    <w:rsid w:val="00345392"/>
    <w:rsid w:val="00350EB3"/>
    <w:rsid w:val="00355384"/>
    <w:rsid w:val="003565E8"/>
    <w:rsid w:val="003741F7"/>
    <w:rsid w:val="003746C6"/>
    <w:rsid w:val="00375BEF"/>
    <w:rsid w:val="0037648C"/>
    <w:rsid w:val="003766B9"/>
    <w:rsid w:val="00392765"/>
    <w:rsid w:val="003A2FCE"/>
    <w:rsid w:val="003A43C2"/>
    <w:rsid w:val="003A597F"/>
    <w:rsid w:val="003B6705"/>
    <w:rsid w:val="003C14B9"/>
    <w:rsid w:val="003D6F38"/>
    <w:rsid w:val="003E0730"/>
    <w:rsid w:val="003F215E"/>
    <w:rsid w:val="00423368"/>
    <w:rsid w:val="00423618"/>
    <w:rsid w:val="0042796B"/>
    <w:rsid w:val="00456CCB"/>
    <w:rsid w:val="00463452"/>
    <w:rsid w:val="00465964"/>
    <w:rsid w:val="004719B0"/>
    <w:rsid w:val="00490C6C"/>
    <w:rsid w:val="00491BFD"/>
    <w:rsid w:val="004B4476"/>
    <w:rsid w:val="004B7112"/>
    <w:rsid w:val="004C0384"/>
    <w:rsid w:val="004C4B1D"/>
    <w:rsid w:val="004E03D2"/>
    <w:rsid w:val="004E5C57"/>
    <w:rsid w:val="004E7EAC"/>
    <w:rsid w:val="004F374B"/>
    <w:rsid w:val="004F44ED"/>
    <w:rsid w:val="004F5F82"/>
    <w:rsid w:val="005028CE"/>
    <w:rsid w:val="00505D36"/>
    <w:rsid w:val="0051314B"/>
    <w:rsid w:val="00526A0C"/>
    <w:rsid w:val="005413E3"/>
    <w:rsid w:val="00546E75"/>
    <w:rsid w:val="00555CC1"/>
    <w:rsid w:val="00570D73"/>
    <w:rsid w:val="00573B63"/>
    <w:rsid w:val="00590EFB"/>
    <w:rsid w:val="00592236"/>
    <w:rsid w:val="005936E6"/>
    <w:rsid w:val="00597917"/>
    <w:rsid w:val="005A2236"/>
    <w:rsid w:val="005A2AD0"/>
    <w:rsid w:val="005B2F37"/>
    <w:rsid w:val="005B4E5A"/>
    <w:rsid w:val="005C4B31"/>
    <w:rsid w:val="005D4790"/>
    <w:rsid w:val="005D54DA"/>
    <w:rsid w:val="005F1E57"/>
    <w:rsid w:val="005F66F3"/>
    <w:rsid w:val="0060561E"/>
    <w:rsid w:val="00615917"/>
    <w:rsid w:val="00620125"/>
    <w:rsid w:val="00624E5D"/>
    <w:rsid w:val="0062603E"/>
    <w:rsid w:val="00626941"/>
    <w:rsid w:val="00632CAC"/>
    <w:rsid w:val="00636073"/>
    <w:rsid w:val="00640683"/>
    <w:rsid w:val="00653BB4"/>
    <w:rsid w:val="006555AB"/>
    <w:rsid w:val="00656D20"/>
    <w:rsid w:val="00656E64"/>
    <w:rsid w:val="00662AEE"/>
    <w:rsid w:val="00667DD8"/>
    <w:rsid w:val="00671704"/>
    <w:rsid w:val="00673184"/>
    <w:rsid w:val="00675961"/>
    <w:rsid w:val="0068153F"/>
    <w:rsid w:val="006822CA"/>
    <w:rsid w:val="00683C22"/>
    <w:rsid w:val="0068661A"/>
    <w:rsid w:val="006A2B0C"/>
    <w:rsid w:val="006B4642"/>
    <w:rsid w:val="006E1D49"/>
    <w:rsid w:val="006E2BB4"/>
    <w:rsid w:val="006E2C99"/>
    <w:rsid w:val="006E453A"/>
    <w:rsid w:val="006E7C6F"/>
    <w:rsid w:val="006F27DB"/>
    <w:rsid w:val="007004B3"/>
    <w:rsid w:val="00702B4D"/>
    <w:rsid w:val="00704BD5"/>
    <w:rsid w:val="00705F68"/>
    <w:rsid w:val="00706C67"/>
    <w:rsid w:val="00707EDE"/>
    <w:rsid w:val="0071445F"/>
    <w:rsid w:val="0071576D"/>
    <w:rsid w:val="00727ECB"/>
    <w:rsid w:val="0073013E"/>
    <w:rsid w:val="0073126F"/>
    <w:rsid w:val="007313BE"/>
    <w:rsid w:val="007329FD"/>
    <w:rsid w:val="00734F2C"/>
    <w:rsid w:val="00737F18"/>
    <w:rsid w:val="0074070B"/>
    <w:rsid w:val="0074451B"/>
    <w:rsid w:val="00763C01"/>
    <w:rsid w:val="00763EC0"/>
    <w:rsid w:val="007657BC"/>
    <w:rsid w:val="007669E5"/>
    <w:rsid w:val="00773A10"/>
    <w:rsid w:val="00784F1A"/>
    <w:rsid w:val="0079704F"/>
    <w:rsid w:val="007A08A9"/>
    <w:rsid w:val="007A2A66"/>
    <w:rsid w:val="007A4B64"/>
    <w:rsid w:val="007B0F69"/>
    <w:rsid w:val="007B3F2C"/>
    <w:rsid w:val="007B48BE"/>
    <w:rsid w:val="007C15F5"/>
    <w:rsid w:val="007C375B"/>
    <w:rsid w:val="007D348C"/>
    <w:rsid w:val="007D383C"/>
    <w:rsid w:val="007D51FC"/>
    <w:rsid w:val="007E7634"/>
    <w:rsid w:val="007F5163"/>
    <w:rsid w:val="0080534A"/>
    <w:rsid w:val="0082067C"/>
    <w:rsid w:val="00821FE4"/>
    <w:rsid w:val="00824DEE"/>
    <w:rsid w:val="008263A1"/>
    <w:rsid w:val="00830F17"/>
    <w:rsid w:val="00832475"/>
    <w:rsid w:val="00832A96"/>
    <w:rsid w:val="008342B2"/>
    <w:rsid w:val="008347FA"/>
    <w:rsid w:val="0083754E"/>
    <w:rsid w:val="00840AB7"/>
    <w:rsid w:val="0085003C"/>
    <w:rsid w:val="00852AF0"/>
    <w:rsid w:val="00855F6B"/>
    <w:rsid w:val="0088219E"/>
    <w:rsid w:val="008862D6"/>
    <w:rsid w:val="00895250"/>
    <w:rsid w:val="008B03E6"/>
    <w:rsid w:val="008D6A8F"/>
    <w:rsid w:val="008E1175"/>
    <w:rsid w:val="008E2F9D"/>
    <w:rsid w:val="008F1023"/>
    <w:rsid w:val="008F4C81"/>
    <w:rsid w:val="00902C57"/>
    <w:rsid w:val="009071AD"/>
    <w:rsid w:val="00912EEC"/>
    <w:rsid w:val="00915D5B"/>
    <w:rsid w:val="00916073"/>
    <w:rsid w:val="0091784A"/>
    <w:rsid w:val="009212AF"/>
    <w:rsid w:val="009365F9"/>
    <w:rsid w:val="00942F12"/>
    <w:rsid w:val="0095210C"/>
    <w:rsid w:val="0097236B"/>
    <w:rsid w:val="00972829"/>
    <w:rsid w:val="00976A40"/>
    <w:rsid w:val="00983B25"/>
    <w:rsid w:val="00984E0B"/>
    <w:rsid w:val="00993C56"/>
    <w:rsid w:val="00995980"/>
    <w:rsid w:val="009A05C8"/>
    <w:rsid w:val="009A2346"/>
    <w:rsid w:val="009A4697"/>
    <w:rsid w:val="009A4E87"/>
    <w:rsid w:val="009B04F2"/>
    <w:rsid w:val="009B6A65"/>
    <w:rsid w:val="009C1E92"/>
    <w:rsid w:val="009C4C41"/>
    <w:rsid w:val="009C6BE6"/>
    <w:rsid w:val="009D2A0F"/>
    <w:rsid w:val="009D2E2D"/>
    <w:rsid w:val="009D5969"/>
    <w:rsid w:val="009D5FFF"/>
    <w:rsid w:val="009D6C37"/>
    <w:rsid w:val="009D727E"/>
    <w:rsid w:val="009E4826"/>
    <w:rsid w:val="009E4C68"/>
    <w:rsid w:val="009E51A0"/>
    <w:rsid w:val="009F49D8"/>
    <w:rsid w:val="00A14E83"/>
    <w:rsid w:val="00A16472"/>
    <w:rsid w:val="00A2294E"/>
    <w:rsid w:val="00A23AAB"/>
    <w:rsid w:val="00A255F2"/>
    <w:rsid w:val="00A318BE"/>
    <w:rsid w:val="00A36765"/>
    <w:rsid w:val="00A6017D"/>
    <w:rsid w:val="00A60378"/>
    <w:rsid w:val="00A66A3D"/>
    <w:rsid w:val="00A72158"/>
    <w:rsid w:val="00A73C62"/>
    <w:rsid w:val="00A82010"/>
    <w:rsid w:val="00A84F32"/>
    <w:rsid w:val="00A97A6B"/>
    <w:rsid w:val="00AB39EF"/>
    <w:rsid w:val="00AB39FC"/>
    <w:rsid w:val="00AC2BB5"/>
    <w:rsid w:val="00AC4985"/>
    <w:rsid w:val="00AD2418"/>
    <w:rsid w:val="00AE0E53"/>
    <w:rsid w:val="00AE2978"/>
    <w:rsid w:val="00AE55DC"/>
    <w:rsid w:val="00AF3C5E"/>
    <w:rsid w:val="00B05053"/>
    <w:rsid w:val="00B16A2C"/>
    <w:rsid w:val="00B17637"/>
    <w:rsid w:val="00B21758"/>
    <w:rsid w:val="00B319B1"/>
    <w:rsid w:val="00B325D1"/>
    <w:rsid w:val="00B40C53"/>
    <w:rsid w:val="00B63EAC"/>
    <w:rsid w:val="00B72F99"/>
    <w:rsid w:val="00B7445E"/>
    <w:rsid w:val="00B87B03"/>
    <w:rsid w:val="00B91E01"/>
    <w:rsid w:val="00B95429"/>
    <w:rsid w:val="00B95729"/>
    <w:rsid w:val="00BB0408"/>
    <w:rsid w:val="00BB2C13"/>
    <w:rsid w:val="00BC08C8"/>
    <w:rsid w:val="00BC1ED8"/>
    <w:rsid w:val="00BD470D"/>
    <w:rsid w:val="00BD5E73"/>
    <w:rsid w:val="00BD7ACA"/>
    <w:rsid w:val="00BE4C60"/>
    <w:rsid w:val="00BF0385"/>
    <w:rsid w:val="00BF185C"/>
    <w:rsid w:val="00BF5276"/>
    <w:rsid w:val="00C00D3A"/>
    <w:rsid w:val="00C030CC"/>
    <w:rsid w:val="00C06D65"/>
    <w:rsid w:val="00C249F0"/>
    <w:rsid w:val="00C40A0B"/>
    <w:rsid w:val="00C562AD"/>
    <w:rsid w:val="00C603A6"/>
    <w:rsid w:val="00C64A62"/>
    <w:rsid w:val="00C71A5D"/>
    <w:rsid w:val="00C732B1"/>
    <w:rsid w:val="00C73B33"/>
    <w:rsid w:val="00C76B89"/>
    <w:rsid w:val="00C81D31"/>
    <w:rsid w:val="00C86541"/>
    <w:rsid w:val="00C951A6"/>
    <w:rsid w:val="00CA7010"/>
    <w:rsid w:val="00CB5B6D"/>
    <w:rsid w:val="00CC0951"/>
    <w:rsid w:val="00CC1A82"/>
    <w:rsid w:val="00CC6A37"/>
    <w:rsid w:val="00CE6B13"/>
    <w:rsid w:val="00CF4C7D"/>
    <w:rsid w:val="00CF6289"/>
    <w:rsid w:val="00CF7E2C"/>
    <w:rsid w:val="00D02888"/>
    <w:rsid w:val="00D046D6"/>
    <w:rsid w:val="00D11BBC"/>
    <w:rsid w:val="00D12461"/>
    <w:rsid w:val="00D13A84"/>
    <w:rsid w:val="00D146C7"/>
    <w:rsid w:val="00D313E8"/>
    <w:rsid w:val="00D32634"/>
    <w:rsid w:val="00D3342E"/>
    <w:rsid w:val="00D3752A"/>
    <w:rsid w:val="00D45963"/>
    <w:rsid w:val="00D45CE1"/>
    <w:rsid w:val="00D53403"/>
    <w:rsid w:val="00D654D6"/>
    <w:rsid w:val="00D93ADD"/>
    <w:rsid w:val="00D9789D"/>
    <w:rsid w:val="00DA11C0"/>
    <w:rsid w:val="00DA351C"/>
    <w:rsid w:val="00DB118B"/>
    <w:rsid w:val="00DB1D3E"/>
    <w:rsid w:val="00DC127F"/>
    <w:rsid w:val="00DD5049"/>
    <w:rsid w:val="00DE38F1"/>
    <w:rsid w:val="00DE4CF2"/>
    <w:rsid w:val="00DF10B8"/>
    <w:rsid w:val="00E01811"/>
    <w:rsid w:val="00E03B46"/>
    <w:rsid w:val="00E117B4"/>
    <w:rsid w:val="00E17847"/>
    <w:rsid w:val="00E3414A"/>
    <w:rsid w:val="00E40A11"/>
    <w:rsid w:val="00E4541E"/>
    <w:rsid w:val="00E45D2C"/>
    <w:rsid w:val="00E45DD9"/>
    <w:rsid w:val="00E4708D"/>
    <w:rsid w:val="00E477CC"/>
    <w:rsid w:val="00E517EA"/>
    <w:rsid w:val="00E56938"/>
    <w:rsid w:val="00E57B38"/>
    <w:rsid w:val="00E7245F"/>
    <w:rsid w:val="00E76A19"/>
    <w:rsid w:val="00E81548"/>
    <w:rsid w:val="00E96286"/>
    <w:rsid w:val="00E976DB"/>
    <w:rsid w:val="00EA3E4B"/>
    <w:rsid w:val="00EA4E63"/>
    <w:rsid w:val="00EC03F3"/>
    <w:rsid w:val="00EC4066"/>
    <w:rsid w:val="00ED6F44"/>
    <w:rsid w:val="00ED7710"/>
    <w:rsid w:val="00ED789D"/>
    <w:rsid w:val="00EE022D"/>
    <w:rsid w:val="00EF1063"/>
    <w:rsid w:val="00EF3BDB"/>
    <w:rsid w:val="00F03E15"/>
    <w:rsid w:val="00F04BA4"/>
    <w:rsid w:val="00F05162"/>
    <w:rsid w:val="00F06554"/>
    <w:rsid w:val="00F10543"/>
    <w:rsid w:val="00F21441"/>
    <w:rsid w:val="00F325C1"/>
    <w:rsid w:val="00F336DA"/>
    <w:rsid w:val="00F3466A"/>
    <w:rsid w:val="00F46CCD"/>
    <w:rsid w:val="00F57024"/>
    <w:rsid w:val="00F61017"/>
    <w:rsid w:val="00F63A80"/>
    <w:rsid w:val="00F71844"/>
    <w:rsid w:val="00F832E0"/>
    <w:rsid w:val="00F9380F"/>
    <w:rsid w:val="00F96B94"/>
    <w:rsid w:val="00FA4C27"/>
    <w:rsid w:val="00FA5113"/>
    <w:rsid w:val="00FB0BA4"/>
    <w:rsid w:val="00FB0E30"/>
    <w:rsid w:val="00FB77F2"/>
    <w:rsid w:val="00FC3FD5"/>
    <w:rsid w:val="00FC4611"/>
    <w:rsid w:val="00FC6C30"/>
    <w:rsid w:val="00FD024C"/>
    <w:rsid w:val="00FD2B6A"/>
    <w:rsid w:val="00FE0F73"/>
    <w:rsid w:val="00FE68A5"/>
    <w:rsid w:val="00FF2201"/>
    <w:rsid w:val="00FF3C92"/>
    <w:rsid w:val="00FF472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90623398-B862-4184-B66B-5A4CB9A7B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nhideWhenUsed/>
    <w:qFormat/>
    <w:rsid w:val="0060561E"/>
  </w:style>
  <w:style w:type="paragraph" w:styleId="berschrift1">
    <w:name w:val="heading 1"/>
    <w:basedOn w:val="Standard"/>
    <w:next w:val="Standard"/>
    <w:link w:val="berschrift1Zchn"/>
    <w:uiPriority w:val="9"/>
    <w:unhideWhenUsed/>
    <w:qFormat/>
    <w:rsid w:val="00624E5D"/>
    <w:pPr>
      <w:keepNext/>
      <w:keepLines/>
      <w:spacing w:before="240" w:after="0"/>
      <w:outlineLvl w:val="0"/>
    </w:pPr>
    <w:rPr>
      <w:rFonts w:asciiTheme="majorHAnsi" w:eastAsiaTheme="majorEastAsia" w:hAnsiTheme="majorHAnsi" w:cstheme="majorBidi"/>
      <w:color w:val="8C7F76" w:themeColor="accent1" w:themeShade="BF"/>
      <w:sz w:val="32"/>
      <w:szCs w:val="32"/>
    </w:rPr>
  </w:style>
  <w:style w:type="paragraph" w:styleId="berschrift2">
    <w:name w:val="heading 2"/>
    <w:basedOn w:val="Standard"/>
    <w:next w:val="Standard"/>
    <w:link w:val="berschrift2Zchn"/>
    <w:uiPriority w:val="9"/>
    <w:semiHidden/>
    <w:unhideWhenUsed/>
    <w:qFormat/>
    <w:rsid w:val="00624E5D"/>
    <w:pPr>
      <w:keepNext/>
      <w:keepLines/>
      <w:spacing w:before="40" w:after="0"/>
      <w:outlineLvl w:val="1"/>
    </w:pPr>
    <w:rPr>
      <w:rFonts w:asciiTheme="majorHAnsi" w:eastAsiaTheme="majorEastAsia" w:hAnsiTheme="majorHAnsi" w:cstheme="majorBidi"/>
      <w:color w:val="8C7F76" w:themeColor="accent1" w:themeShade="BF"/>
      <w:sz w:val="26"/>
      <w:szCs w:val="26"/>
    </w:rPr>
  </w:style>
  <w:style w:type="paragraph" w:styleId="berschrift3">
    <w:name w:val="heading 3"/>
    <w:basedOn w:val="Standard"/>
    <w:next w:val="Standard"/>
    <w:link w:val="berschrift3Zchn"/>
    <w:uiPriority w:val="9"/>
    <w:semiHidden/>
    <w:unhideWhenUsed/>
    <w:qFormat/>
    <w:rsid w:val="00624E5D"/>
    <w:pPr>
      <w:keepNext/>
      <w:keepLines/>
      <w:spacing w:before="40" w:after="0"/>
      <w:outlineLvl w:val="2"/>
    </w:pPr>
    <w:rPr>
      <w:rFonts w:asciiTheme="majorHAnsi" w:eastAsiaTheme="majorEastAsia" w:hAnsiTheme="majorHAnsi" w:cstheme="majorBidi"/>
      <w:color w:val="5D544E" w:themeColor="accent1" w:themeShade="7F"/>
      <w:sz w:val="24"/>
      <w:szCs w:val="24"/>
    </w:rPr>
  </w:style>
  <w:style w:type="paragraph" w:styleId="berschrift4">
    <w:name w:val="heading 4"/>
    <w:basedOn w:val="Standard"/>
    <w:next w:val="Standard"/>
    <w:link w:val="berschrift4Zchn"/>
    <w:uiPriority w:val="9"/>
    <w:unhideWhenUsed/>
    <w:qFormat/>
    <w:rsid w:val="00624E5D"/>
    <w:pPr>
      <w:keepNext/>
      <w:keepLines/>
      <w:spacing w:before="40" w:after="0"/>
      <w:outlineLvl w:val="3"/>
    </w:pPr>
    <w:rPr>
      <w:rFonts w:asciiTheme="majorHAnsi" w:eastAsiaTheme="majorEastAsia" w:hAnsiTheme="majorHAnsi" w:cstheme="majorBidi"/>
      <w:i/>
      <w:iCs/>
      <w:color w:val="8C7F76"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7D51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40A11"/>
    <w:pPr>
      <w:tabs>
        <w:tab w:val="right" w:pos="9072"/>
      </w:tabs>
      <w:spacing w:after="0" w:line="283" w:lineRule="exact"/>
    </w:pPr>
    <w:rPr>
      <w:rFonts w:ascii="Arial" w:hAnsi="Arial" w:cs="Arial"/>
      <w:sz w:val="17"/>
      <w:szCs w:val="17"/>
    </w:rPr>
  </w:style>
  <w:style w:type="character" w:customStyle="1" w:styleId="KopfzeileZchn">
    <w:name w:val="Kopfzeile Zchn"/>
    <w:basedOn w:val="Absatz-Standardschriftart"/>
    <w:link w:val="Kopfzeile"/>
    <w:uiPriority w:val="99"/>
    <w:rsid w:val="0060561E"/>
    <w:rPr>
      <w:rFonts w:ascii="Arial" w:hAnsi="Arial" w:cs="Arial"/>
      <w:sz w:val="17"/>
      <w:szCs w:val="17"/>
    </w:rPr>
  </w:style>
  <w:style w:type="paragraph" w:styleId="Fuzeile">
    <w:name w:val="footer"/>
    <w:basedOn w:val="Standard"/>
    <w:link w:val="FuzeileZchn"/>
    <w:uiPriority w:val="99"/>
    <w:unhideWhenUsed/>
    <w:rsid w:val="00DE38F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561E"/>
  </w:style>
  <w:style w:type="paragraph" w:customStyle="1" w:styleId="00BAFUPublikationstitel">
    <w:name w:val="00_BAFU_Publikationstitel"/>
    <w:basedOn w:val="Standard"/>
    <w:qFormat/>
    <w:rsid w:val="00E40A11"/>
    <w:pPr>
      <w:tabs>
        <w:tab w:val="right" w:pos="9015"/>
      </w:tabs>
      <w:suppressAutoHyphens/>
      <w:spacing w:after="284" w:line="720" w:lineRule="exact"/>
      <w:outlineLvl w:val="0"/>
    </w:pPr>
    <w:rPr>
      <w:rFonts w:ascii="Arial" w:hAnsi="Arial" w:cs="Arial"/>
      <w:b/>
      <w:sz w:val="60"/>
      <w:szCs w:val="60"/>
    </w:rPr>
  </w:style>
  <w:style w:type="paragraph" w:customStyle="1" w:styleId="00BAFUIHVZVorwort">
    <w:name w:val="00_BAFU_IHVZ_Vorwort"/>
    <w:basedOn w:val="Verzeichnis1"/>
    <w:qFormat/>
    <w:rsid w:val="00286B19"/>
  </w:style>
  <w:style w:type="paragraph" w:customStyle="1" w:styleId="00BAFUImpressumbold">
    <w:name w:val="00_BAFU_Impressum_bold"/>
    <w:basedOn w:val="Standard"/>
    <w:qFormat/>
    <w:rsid w:val="005B2F37"/>
    <w:pPr>
      <w:spacing w:before="284" w:after="0" w:line="283" w:lineRule="exact"/>
    </w:pPr>
    <w:rPr>
      <w:rFonts w:ascii="Arial" w:hAnsi="Arial" w:cs="Arial"/>
      <w:b/>
      <w:sz w:val="17"/>
      <w:szCs w:val="17"/>
    </w:rPr>
  </w:style>
  <w:style w:type="paragraph" w:customStyle="1" w:styleId="00BAFUImpressum">
    <w:name w:val="00_BAFU_Impressum"/>
    <w:basedOn w:val="Standard"/>
    <w:qFormat/>
    <w:rsid w:val="00656E64"/>
    <w:pPr>
      <w:spacing w:after="0" w:line="283" w:lineRule="exact"/>
    </w:pPr>
    <w:rPr>
      <w:rFonts w:ascii="Arial" w:hAnsi="Arial" w:cs="Arial"/>
      <w:sz w:val="17"/>
      <w:szCs w:val="17"/>
    </w:rPr>
  </w:style>
  <w:style w:type="character" w:styleId="Hyperlink">
    <w:name w:val="Hyperlink"/>
    <w:aliases w:val="05_BAFU_Hyperlink"/>
    <w:basedOn w:val="Absatz-Standardschriftart"/>
    <w:uiPriority w:val="99"/>
    <w:unhideWhenUsed/>
    <w:rsid w:val="006E7C6F"/>
    <w:rPr>
      <w:i/>
    </w:rPr>
  </w:style>
  <w:style w:type="character" w:customStyle="1" w:styleId="99Kopfzeilegrau">
    <w:name w:val="99_Kopfzeile grau"/>
    <w:basedOn w:val="Absatz-Standardschriftart"/>
    <w:uiPriority w:val="1"/>
    <w:qFormat/>
    <w:rsid w:val="00ED789D"/>
    <w:rPr>
      <w:color w:val="666666"/>
    </w:rPr>
  </w:style>
  <w:style w:type="paragraph" w:customStyle="1" w:styleId="00BAFUIHVZKapitel">
    <w:name w:val="00_BAFU_IHVZ_Kapitel"/>
    <w:basedOn w:val="Standard"/>
    <w:qFormat/>
    <w:rsid w:val="00F9380F"/>
    <w:pPr>
      <w:pBdr>
        <w:top w:val="single" w:sz="4" w:space="1" w:color="000000" w:themeColor="text1"/>
        <w:bottom w:val="single" w:sz="4" w:space="1" w:color="FFFFFF" w:themeColor="background1"/>
      </w:pBdr>
      <w:tabs>
        <w:tab w:val="left" w:pos="567"/>
        <w:tab w:val="right" w:pos="9015"/>
      </w:tabs>
      <w:suppressAutoHyphens/>
      <w:spacing w:before="284" w:after="0" w:line="283" w:lineRule="exact"/>
      <w:outlineLvl w:val="0"/>
    </w:pPr>
    <w:rPr>
      <w:rFonts w:ascii="Arial" w:hAnsi="Arial" w:cs="Arial"/>
      <w:b/>
      <w:noProof/>
      <w:sz w:val="17"/>
      <w:szCs w:val="17"/>
    </w:rPr>
  </w:style>
  <w:style w:type="paragraph" w:customStyle="1" w:styleId="00BAFUIHVZUnterkategorien">
    <w:name w:val="00_BAFU_IHVZ_Unterkategorien"/>
    <w:basedOn w:val="00BAFUIHVZKapitel"/>
    <w:qFormat/>
    <w:rsid w:val="00895250"/>
    <w:pPr>
      <w:pBdr>
        <w:top w:val="none" w:sz="0" w:space="0" w:color="auto"/>
      </w:pBdr>
      <w:spacing w:before="0"/>
    </w:pPr>
    <w:rPr>
      <w:b w:val="0"/>
    </w:rPr>
  </w:style>
  <w:style w:type="paragraph" w:customStyle="1" w:styleId="00BAFUAbstractEN">
    <w:name w:val="00_BAFU_Abstract EN"/>
    <w:qFormat/>
    <w:rsid w:val="009A05C8"/>
    <w:pPr>
      <w:spacing w:after="284" w:line="283" w:lineRule="exact"/>
      <w:ind w:right="1758"/>
      <w:jc w:val="both"/>
    </w:pPr>
    <w:rPr>
      <w:rFonts w:ascii="Arial" w:hAnsi="Arial" w:cs="Arial"/>
      <w:noProof/>
      <w:sz w:val="20"/>
      <w:szCs w:val="20"/>
      <w:lang w:val="en-GB" w:eastAsia="de-CH"/>
    </w:rPr>
  </w:style>
  <w:style w:type="paragraph" w:customStyle="1" w:styleId="05BAFUGrundschrift">
    <w:name w:val="05_BAFU_Grundschrift"/>
    <w:basedOn w:val="00BAFUAbstractEN"/>
    <w:rsid w:val="007B0F69"/>
    <w:pPr>
      <w:spacing w:after="283"/>
      <w:ind w:right="0"/>
    </w:pPr>
    <w:rPr>
      <w:lang w:val="de-CH"/>
    </w:rPr>
  </w:style>
  <w:style w:type="paragraph" w:customStyle="1" w:styleId="00BAFUAbstractFR">
    <w:name w:val="00_BAFU_Abstract FR"/>
    <w:basedOn w:val="00BAFUAbstractEN"/>
    <w:qFormat/>
    <w:rsid w:val="00A72158"/>
    <w:rPr>
      <w:lang w:val="fr-FR"/>
    </w:rPr>
  </w:style>
  <w:style w:type="paragraph" w:customStyle="1" w:styleId="00BAFUVorwortAutor">
    <w:name w:val="00_BAFU_Vorwort_Autor"/>
    <w:basedOn w:val="05BAFUGrundschrift"/>
    <w:qFormat/>
    <w:rsid w:val="0079704F"/>
    <w:pPr>
      <w:spacing w:after="284"/>
      <w:jc w:val="left"/>
    </w:pPr>
  </w:style>
  <w:style w:type="paragraph" w:customStyle="1" w:styleId="01BAFUKapiteltitel">
    <w:name w:val="01_BAFU_Kapiteltitel"/>
    <w:qFormat/>
    <w:rsid w:val="009A4E87"/>
    <w:pPr>
      <w:spacing w:after="284" w:line="720" w:lineRule="exact"/>
    </w:pPr>
    <w:rPr>
      <w:rFonts w:ascii="Arial" w:hAnsi="Arial" w:cs="Arial"/>
      <w:b/>
      <w:sz w:val="60"/>
      <w:szCs w:val="60"/>
    </w:rPr>
  </w:style>
  <w:style w:type="paragraph" w:customStyle="1" w:styleId="05BAFUGrundschriftohneAbstanddanach">
    <w:name w:val="05_BAFU_Grundschrift ohne Abstand danach"/>
    <w:basedOn w:val="05BAFUGrundschrift"/>
    <w:rsid w:val="00340CA8"/>
    <w:pPr>
      <w:spacing w:after="0"/>
    </w:pPr>
  </w:style>
  <w:style w:type="paragraph" w:customStyle="1" w:styleId="01BAFUKapiteltitelnummeriert">
    <w:name w:val="01_BAFU_Kapiteltitel_nummeriert"/>
    <w:basedOn w:val="01BAFUKapiteltitel"/>
    <w:qFormat/>
    <w:rsid w:val="007B0F69"/>
    <w:pPr>
      <w:numPr>
        <w:numId w:val="2"/>
      </w:numPr>
    </w:pPr>
  </w:style>
  <w:style w:type="paragraph" w:customStyle="1" w:styleId="02BAFUTitelnummeriert">
    <w:name w:val="02_BAFU_Titel_nummeriert"/>
    <w:basedOn w:val="Standard"/>
    <w:qFormat/>
    <w:rsid w:val="00EC4066"/>
    <w:pPr>
      <w:numPr>
        <w:numId w:val="6"/>
      </w:numPr>
      <w:tabs>
        <w:tab w:val="right" w:pos="9015"/>
      </w:tabs>
      <w:spacing w:after="284" w:line="283" w:lineRule="exact"/>
    </w:pPr>
    <w:rPr>
      <w:rFonts w:ascii="Arial" w:hAnsi="Arial" w:cs="Arial"/>
      <w:b/>
      <w:sz w:val="24"/>
      <w:szCs w:val="24"/>
    </w:rPr>
  </w:style>
  <w:style w:type="numbering" w:customStyle="1" w:styleId="BAFUTitelhierarchie">
    <w:name w:val="BAFU_Titelhierarchie"/>
    <w:uiPriority w:val="99"/>
    <w:rsid w:val="006E2C99"/>
    <w:pPr>
      <w:numPr>
        <w:numId w:val="1"/>
      </w:numPr>
    </w:pPr>
  </w:style>
  <w:style w:type="paragraph" w:customStyle="1" w:styleId="04BAFUUntertitelnummerietStufe2">
    <w:name w:val="04_BAFU_Untertitel_nummeriet (Stufe 2)"/>
    <w:basedOn w:val="02BAFUTitelnummeriert"/>
    <w:qFormat/>
    <w:rsid w:val="00C81D31"/>
    <w:pPr>
      <w:numPr>
        <w:ilvl w:val="3"/>
      </w:numPr>
      <w:spacing w:after="0"/>
    </w:pPr>
    <w:rPr>
      <w:b w:val="0"/>
      <w:sz w:val="20"/>
      <w:szCs w:val="20"/>
    </w:rPr>
  </w:style>
  <w:style w:type="paragraph" w:customStyle="1" w:styleId="03BAFUUntertitelnummeriert">
    <w:name w:val="03_BAFU_Untertitel_nummeriert"/>
    <w:basedOn w:val="02BAFUTitelnummeriert"/>
    <w:qFormat/>
    <w:rsid w:val="00C81D31"/>
    <w:pPr>
      <w:numPr>
        <w:ilvl w:val="2"/>
      </w:numPr>
      <w:spacing w:after="0"/>
    </w:pPr>
    <w:rPr>
      <w:sz w:val="20"/>
      <w:szCs w:val="20"/>
    </w:rPr>
  </w:style>
  <w:style w:type="paragraph" w:customStyle="1" w:styleId="00BAFUAbstractDE">
    <w:name w:val="00_BAFU_Abstract DE"/>
    <w:basedOn w:val="00BAFUAbstractEN"/>
    <w:qFormat/>
    <w:rsid w:val="007B0F69"/>
    <w:rPr>
      <w:lang w:val="de-CH"/>
    </w:rPr>
  </w:style>
  <w:style w:type="paragraph" w:styleId="Funotentext">
    <w:name w:val="footnote text"/>
    <w:basedOn w:val="Standard"/>
    <w:link w:val="FunotentextZchn"/>
    <w:unhideWhenUsed/>
    <w:rsid w:val="0025255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0561E"/>
    <w:rPr>
      <w:sz w:val="20"/>
      <w:szCs w:val="20"/>
    </w:rPr>
  </w:style>
  <w:style w:type="character" w:styleId="Funotenzeichen">
    <w:name w:val="footnote reference"/>
    <w:basedOn w:val="Absatz-Standardschriftart"/>
    <w:unhideWhenUsed/>
    <w:rsid w:val="00252555"/>
    <w:rPr>
      <w:vertAlign w:val="superscript"/>
    </w:rPr>
  </w:style>
  <w:style w:type="paragraph" w:customStyle="1" w:styleId="05BAFUFussnote">
    <w:name w:val="05_BAFU_Fussnote"/>
    <w:basedOn w:val="Funotentext"/>
    <w:qFormat/>
    <w:rsid w:val="00252555"/>
    <w:pPr>
      <w:spacing w:line="170" w:lineRule="exact"/>
    </w:pPr>
    <w:rPr>
      <w:rFonts w:ascii="Times New Roman" w:hAnsi="Times New Roman"/>
      <w:sz w:val="14"/>
      <w:lang w:val="de-DE"/>
    </w:rPr>
  </w:style>
  <w:style w:type="paragraph" w:customStyle="1" w:styleId="05BAFUGrundschriftAufzhlungletzte">
    <w:name w:val="05_BAFU_Grundschrift Aufzählung letzte"/>
    <w:basedOn w:val="05BAFUGrundschrift"/>
    <w:qFormat/>
    <w:rsid w:val="007F5163"/>
    <w:pPr>
      <w:numPr>
        <w:numId w:val="3"/>
      </w:numPr>
      <w:ind w:left="199" w:hanging="199"/>
    </w:pPr>
  </w:style>
  <w:style w:type="paragraph" w:customStyle="1" w:styleId="05BAFUGrundschriftAufzhlung">
    <w:name w:val="05_BAFU_Grundschrift Aufzählung"/>
    <w:basedOn w:val="05BAFUGrundschriftAufzhlungletzte"/>
    <w:qFormat/>
    <w:rsid w:val="00AE2978"/>
    <w:pPr>
      <w:numPr>
        <w:numId w:val="7"/>
      </w:numPr>
      <w:spacing w:after="0"/>
    </w:pPr>
  </w:style>
  <w:style w:type="paragraph" w:customStyle="1" w:styleId="05BAFUGrundschriftAufzhlung2Hierarchie">
    <w:name w:val="05_BAFU_Grundschrift Aufzählung 2. Hierarchie"/>
    <w:basedOn w:val="05BAFUGrundschriftAufzhlung"/>
    <w:qFormat/>
    <w:rsid w:val="009E4826"/>
    <w:pPr>
      <w:numPr>
        <w:ilvl w:val="1"/>
        <w:numId w:val="4"/>
      </w:numPr>
    </w:pPr>
  </w:style>
  <w:style w:type="paragraph" w:customStyle="1" w:styleId="05BAFUMarginalientext">
    <w:name w:val="05_BAFU_Marginalientext"/>
    <w:basedOn w:val="05BAFUGrundschrift"/>
    <w:qFormat/>
    <w:rsid w:val="001616BD"/>
    <w:rPr>
      <w:rFonts w:ascii="Times New Roman" w:hAnsi="Times New Roman" w:cs="Times New Roman"/>
      <w:i/>
      <w:color w:val="666666"/>
    </w:rPr>
  </w:style>
  <w:style w:type="character" w:customStyle="1" w:styleId="berschrift1Zchn">
    <w:name w:val="Überschrift 1 Zchn"/>
    <w:basedOn w:val="Absatz-Standardschriftart"/>
    <w:link w:val="berschrift1"/>
    <w:uiPriority w:val="9"/>
    <w:rsid w:val="0060561E"/>
    <w:rPr>
      <w:rFonts w:asciiTheme="majorHAnsi" w:eastAsiaTheme="majorEastAsia" w:hAnsiTheme="majorHAnsi" w:cstheme="majorBidi"/>
      <w:color w:val="8C7F76" w:themeColor="accent1" w:themeShade="BF"/>
      <w:sz w:val="32"/>
      <w:szCs w:val="32"/>
    </w:rPr>
  </w:style>
  <w:style w:type="character" w:customStyle="1" w:styleId="berschrift2Zchn">
    <w:name w:val="Überschrift 2 Zchn"/>
    <w:basedOn w:val="Absatz-Standardschriftart"/>
    <w:link w:val="berschrift2"/>
    <w:uiPriority w:val="9"/>
    <w:semiHidden/>
    <w:rsid w:val="0060561E"/>
    <w:rPr>
      <w:rFonts w:asciiTheme="majorHAnsi" w:eastAsiaTheme="majorEastAsia" w:hAnsiTheme="majorHAnsi" w:cstheme="majorBidi"/>
      <w:color w:val="8C7F76" w:themeColor="accent1" w:themeShade="BF"/>
      <w:sz w:val="26"/>
      <w:szCs w:val="26"/>
    </w:rPr>
  </w:style>
  <w:style w:type="character" w:customStyle="1" w:styleId="berschrift3Zchn">
    <w:name w:val="Überschrift 3 Zchn"/>
    <w:basedOn w:val="Absatz-Standardschriftart"/>
    <w:link w:val="berschrift3"/>
    <w:uiPriority w:val="9"/>
    <w:semiHidden/>
    <w:rsid w:val="0060561E"/>
    <w:rPr>
      <w:rFonts w:asciiTheme="majorHAnsi" w:eastAsiaTheme="majorEastAsia" w:hAnsiTheme="majorHAnsi" w:cstheme="majorBidi"/>
      <w:color w:val="5D544E" w:themeColor="accent1" w:themeShade="7F"/>
      <w:sz w:val="24"/>
      <w:szCs w:val="24"/>
    </w:rPr>
  </w:style>
  <w:style w:type="character" w:customStyle="1" w:styleId="berschrift4Zchn">
    <w:name w:val="Überschrift 4 Zchn"/>
    <w:basedOn w:val="Absatz-Standardschriftart"/>
    <w:link w:val="berschrift4"/>
    <w:uiPriority w:val="9"/>
    <w:rsid w:val="0060561E"/>
    <w:rPr>
      <w:rFonts w:asciiTheme="majorHAnsi" w:eastAsiaTheme="majorEastAsia" w:hAnsiTheme="majorHAnsi" w:cstheme="majorBidi"/>
      <w:i/>
      <w:iCs/>
      <w:color w:val="8C7F76" w:themeColor="accent1" w:themeShade="BF"/>
    </w:rPr>
  </w:style>
  <w:style w:type="paragraph" w:styleId="Verzeichnis1">
    <w:name w:val="toc 1"/>
    <w:aliases w:val="00_BAFU_IHVZ_Hierarchie_1"/>
    <w:basedOn w:val="00BAFUIHVZKapitel"/>
    <w:next w:val="Standard"/>
    <w:autoRedefine/>
    <w:uiPriority w:val="39"/>
    <w:unhideWhenUsed/>
    <w:rsid w:val="0011540C"/>
    <w:pPr>
      <w:pBdr>
        <w:top w:val="none" w:sz="0" w:space="0" w:color="auto"/>
        <w:bottom w:val="none" w:sz="0" w:space="0" w:color="auto"/>
      </w:pBdr>
    </w:pPr>
    <w:rPr>
      <w:u w:val="single"/>
      <w:lang w:val="en-GB"/>
    </w:rPr>
  </w:style>
  <w:style w:type="paragraph" w:styleId="Verzeichnis2">
    <w:name w:val="toc 2"/>
    <w:aliases w:val="00_BAFU_IHVZ_Hierarchie_2"/>
    <w:basedOn w:val="00BAFUIHVZUnterkategorien"/>
    <w:next w:val="Standard"/>
    <w:autoRedefine/>
    <w:uiPriority w:val="39"/>
    <w:unhideWhenUsed/>
    <w:rsid w:val="001D5784"/>
  </w:style>
  <w:style w:type="paragraph" w:styleId="Verzeichnis3">
    <w:name w:val="toc 3"/>
    <w:aliases w:val="00_BAFU_IHVZ_Hierarchie_3"/>
    <w:basedOn w:val="00BAFUIHVZUnterkategorien"/>
    <w:next w:val="Standard"/>
    <w:autoRedefine/>
    <w:uiPriority w:val="39"/>
    <w:unhideWhenUsed/>
    <w:rsid w:val="003176A2"/>
  </w:style>
  <w:style w:type="paragraph" w:styleId="Verzeichnis4">
    <w:name w:val="toc 4"/>
    <w:aliases w:val="00_BAFU_IHVZ_Hierarchie 4"/>
    <w:basedOn w:val="00BAFUIHVZUnterkategorien"/>
    <w:next w:val="Standard"/>
    <w:autoRedefine/>
    <w:uiPriority w:val="39"/>
    <w:unhideWhenUsed/>
    <w:rsid w:val="003176A2"/>
  </w:style>
  <w:style w:type="paragraph" w:customStyle="1" w:styleId="01BAFUKapiteltitelohneIHVZ-Eintrag">
    <w:name w:val="01_BAFU_Kapiteltitel_ohne IHVZ-Eintrag"/>
    <w:basedOn w:val="01BAFUKapiteltitel"/>
    <w:qFormat/>
    <w:rsid w:val="003176A2"/>
  </w:style>
  <w:style w:type="paragraph" w:styleId="Verzeichnis5">
    <w:name w:val="toc 5"/>
    <w:basedOn w:val="00BAFUIHVZUnterkategorien"/>
    <w:next w:val="Standard"/>
    <w:autoRedefine/>
    <w:uiPriority w:val="39"/>
    <w:semiHidden/>
    <w:unhideWhenUsed/>
    <w:rsid w:val="00B319B1"/>
  </w:style>
  <w:style w:type="paragraph" w:styleId="Verzeichnis6">
    <w:name w:val="toc 6"/>
    <w:basedOn w:val="00BAFUIHVZUnterkategorien"/>
    <w:next w:val="Standard"/>
    <w:autoRedefine/>
    <w:uiPriority w:val="39"/>
    <w:semiHidden/>
    <w:unhideWhenUsed/>
    <w:rsid w:val="00B319B1"/>
  </w:style>
  <w:style w:type="paragraph" w:styleId="Verzeichnis7">
    <w:name w:val="toc 7"/>
    <w:basedOn w:val="00BAFUIHVZUnterkategorien"/>
    <w:next w:val="Standard"/>
    <w:autoRedefine/>
    <w:uiPriority w:val="39"/>
    <w:semiHidden/>
    <w:unhideWhenUsed/>
    <w:rsid w:val="00B319B1"/>
  </w:style>
  <w:style w:type="paragraph" w:customStyle="1" w:styleId="Formatvorlage1">
    <w:name w:val="Formatvorlage1"/>
    <w:basedOn w:val="00BAFUIHVZKapitel"/>
    <w:rsid w:val="00EA3E4B"/>
  </w:style>
  <w:style w:type="paragraph" w:customStyle="1" w:styleId="99BAFUKopfzeile">
    <w:name w:val="99_BAFU_Kopfzeile"/>
    <w:basedOn w:val="Standard"/>
    <w:qFormat/>
    <w:rsid w:val="003766B9"/>
    <w:pPr>
      <w:tabs>
        <w:tab w:val="right" w:pos="9866"/>
      </w:tabs>
      <w:spacing w:after="0"/>
    </w:pPr>
    <w:rPr>
      <w:rFonts w:ascii="Arial" w:hAnsi="Arial" w:cs="Arial"/>
      <w:noProof/>
      <w:color w:val="FFFFFF" w:themeColor="background1"/>
      <w:sz w:val="17"/>
      <w:szCs w:val="17"/>
      <w:lang w:eastAsia="de-CH"/>
    </w:rPr>
  </w:style>
  <w:style w:type="paragraph" w:customStyle="1" w:styleId="99BAFUKopfzeileGrau">
    <w:name w:val="99_BAFU_Kopfzeile_Grau"/>
    <w:basedOn w:val="Standard"/>
    <w:qFormat/>
    <w:rsid w:val="003766B9"/>
    <w:pPr>
      <w:tabs>
        <w:tab w:val="right" w:pos="9866"/>
      </w:tabs>
      <w:spacing w:after="0"/>
    </w:pPr>
    <w:rPr>
      <w:rFonts w:ascii="Arial" w:hAnsi="Arial" w:cs="Arial"/>
      <w:sz w:val="17"/>
      <w:szCs w:val="17"/>
    </w:rPr>
  </w:style>
  <w:style w:type="paragraph" w:customStyle="1" w:styleId="99BAFUSatzspiegellinie">
    <w:name w:val="99_BAFU_Satzspiegellinie"/>
    <w:basedOn w:val="Kopfzeile"/>
    <w:qFormat/>
    <w:rsid w:val="009D2A0F"/>
    <w:pPr>
      <w:pBdr>
        <w:bottom w:val="single" w:sz="8" w:space="1" w:color="auto"/>
      </w:pBdr>
      <w:spacing w:before="1021"/>
    </w:pPr>
  </w:style>
  <w:style w:type="paragraph" w:customStyle="1" w:styleId="00BAFUSchmutztitel">
    <w:name w:val="00_BAFU_Schmutztitel"/>
    <w:basedOn w:val="00BAFUPublikationstitel"/>
    <w:qFormat/>
    <w:rsid w:val="008E2F9D"/>
  </w:style>
  <w:style w:type="paragraph" w:customStyle="1" w:styleId="00BAFUSchmutztitelUntertitel">
    <w:name w:val="00_BAFU_Schmutztitel_Untertitel"/>
    <w:basedOn w:val="Standard"/>
    <w:qFormat/>
    <w:rsid w:val="009D727E"/>
    <w:pPr>
      <w:tabs>
        <w:tab w:val="right" w:pos="9015"/>
      </w:tabs>
      <w:spacing w:after="284" w:line="283" w:lineRule="exact"/>
    </w:pPr>
    <w:rPr>
      <w:rFonts w:ascii="Arial" w:hAnsi="Arial" w:cs="Arial"/>
      <w:color w:val="000000" w:themeColor="text1"/>
      <w:sz w:val="24"/>
      <w:szCs w:val="24"/>
    </w:rPr>
  </w:style>
  <w:style w:type="paragraph" w:customStyle="1" w:styleId="99BAFUFusszeile">
    <w:name w:val="99_BAFU_Fusszeile"/>
    <w:basedOn w:val="Fuzeile"/>
    <w:qFormat/>
    <w:rsid w:val="0083754E"/>
    <w:rPr>
      <w:rFonts w:ascii="Arial" w:hAnsi="Arial" w:cs="Arial"/>
      <w:sz w:val="20"/>
      <w:szCs w:val="20"/>
    </w:rPr>
  </w:style>
  <w:style w:type="table" w:customStyle="1" w:styleId="00BAFUStandardtabelle">
    <w:name w:val="00_BAFU_Standardtabelle"/>
    <w:basedOn w:val="NormaleTabelle"/>
    <w:uiPriority w:val="99"/>
    <w:rsid w:val="007D51FC"/>
    <w:pPr>
      <w:spacing w:after="0" w:line="200" w:lineRule="exact"/>
    </w:pPr>
    <w:rPr>
      <w:rFonts w:ascii="Arial" w:hAnsi="Arial"/>
      <w:sz w:val="16"/>
    </w:rPr>
    <w:tblPr>
      <w:tblBorders>
        <w:top w:val="single" w:sz="4" w:space="0" w:color="auto"/>
      </w:tblBorders>
    </w:tblPr>
    <w:tblStylePr w:type="firstRow">
      <w:pPr>
        <w:jc w:val="left"/>
      </w:pPr>
      <w:rPr>
        <w:rFonts w:ascii="Arial" w:hAnsi="Arial"/>
        <w:b/>
        <w:i w:val="0"/>
        <w:sz w:val="16"/>
      </w:rPr>
      <w:tblPr/>
      <w:tcPr>
        <w:tcBorders>
          <w:top w:val="single" w:sz="4" w:space="0" w:color="auto"/>
          <w:left w:val="nil"/>
          <w:bottom w:val="nil"/>
          <w:right w:val="nil"/>
          <w:insideH w:val="nil"/>
          <w:insideV w:val="nil"/>
          <w:tl2br w:val="nil"/>
          <w:tr2bl w:val="nil"/>
        </w:tcBorders>
      </w:tcPr>
    </w:tblStylePr>
  </w:style>
  <w:style w:type="table" w:styleId="EinfacheTabelle1">
    <w:name w:val="Plain Table 1"/>
    <w:aliases w:val="00_BAFU"/>
    <w:basedOn w:val="NormaleTabelle"/>
    <w:uiPriority w:val="41"/>
    <w:rsid w:val="00F10543"/>
    <w:pPr>
      <w:spacing w:after="0" w:line="240" w:lineRule="exact"/>
    </w:pPr>
    <w:rPr>
      <w:rFonts w:ascii="Arial" w:hAnsi="Arial"/>
      <w:sz w:val="16"/>
    </w:rPr>
    <w:tblPr>
      <w:tblStyleRowBandSize w:val="1"/>
      <w:tblStyleColBandSize w:val="1"/>
      <w:tblBorders>
        <w:top w:val="single" w:sz="4" w:space="0" w:color="000000" w:themeColor="text1"/>
        <w:bottom w:val="single" w:sz="4" w:space="0" w:color="000000" w:themeColor="text1"/>
      </w:tblBorders>
      <w:tblCellMar>
        <w:top w:w="88" w:type="dxa"/>
        <w:left w:w="57" w:type="dxa"/>
        <w:bottom w:w="88" w:type="dxa"/>
        <w:right w:w="57" w:type="dxa"/>
      </w:tblCellMar>
    </w:tblPr>
    <w:tblStylePr w:type="firstRow">
      <w:rPr>
        <w:rFonts w:ascii="Arial" w:hAnsi="Arial"/>
        <w:b/>
        <w:bCs/>
        <w:sz w:val="16"/>
      </w:rPr>
    </w:tblStylePr>
    <w:tblStylePr w:type="lastRow">
      <w:rPr>
        <w:b/>
        <w:bCs/>
      </w:rPr>
      <w:tblPr/>
      <w:tcPr>
        <w:tcBorders>
          <w:top w:val="double" w:sz="4" w:space="0" w:color="BFBFBF" w:themeColor="background1" w:themeShade="BF"/>
        </w:tcBorders>
      </w:tcPr>
    </w:tblStylePr>
    <w:tblStylePr w:type="firstCol">
      <w:rPr>
        <w:b w:val="0"/>
        <w:bCs/>
      </w:rPr>
    </w:tblStylePr>
    <w:tblStylePr w:type="lastCol">
      <w:rPr>
        <w:b w:val="0"/>
        <w:bCs/>
      </w:rPr>
    </w:tblStylePr>
    <w:tblStylePr w:type="band1Horz">
      <w:tblPr/>
      <w:tcPr>
        <w:shd w:val="clear" w:color="auto" w:fill="D9D9D9"/>
      </w:tcPr>
    </w:tblStylePr>
  </w:style>
  <w:style w:type="paragraph" w:customStyle="1" w:styleId="06BAFULegendeText">
    <w:name w:val="06_BAFU_Legende_Text"/>
    <w:basedOn w:val="05BAFUGrundschrift"/>
    <w:qFormat/>
    <w:rsid w:val="00F05162"/>
    <w:pPr>
      <w:jc w:val="left"/>
    </w:pPr>
    <w:rPr>
      <w:i/>
      <w:sz w:val="16"/>
      <w:szCs w:val="16"/>
    </w:rPr>
  </w:style>
  <w:style w:type="paragraph" w:customStyle="1" w:styleId="06BAFULegendeTitel">
    <w:name w:val="06_BAFU_Legende_Titel"/>
    <w:basedOn w:val="05BAFUGrundschrift"/>
    <w:qFormat/>
    <w:rsid w:val="00F05162"/>
    <w:pPr>
      <w:spacing w:after="0"/>
      <w:jc w:val="left"/>
    </w:pPr>
    <w:rPr>
      <w:b/>
      <w:sz w:val="16"/>
      <w:szCs w:val="16"/>
    </w:rPr>
  </w:style>
  <w:style w:type="paragraph" w:customStyle="1" w:styleId="07BAFUTabellelinks">
    <w:name w:val="07_BAFU_Tabelle_links"/>
    <w:basedOn w:val="Standard"/>
    <w:qFormat/>
    <w:rsid w:val="00CF6289"/>
    <w:pPr>
      <w:spacing w:after="0" w:line="200" w:lineRule="atLeast"/>
    </w:pPr>
    <w:rPr>
      <w:rFonts w:ascii="Arial" w:hAnsi="Arial" w:cs="Arial"/>
      <w:bCs/>
      <w:spacing w:val="-3"/>
      <w:sz w:val="16"/>
      <w:szCs w:val="16"/>
      <w:lang w:val="en-US"/>
    </w:rPr>
  </w:style>
  <w:style w:type="paragraph" w:customStyle="1" w:styleId="07BAFUTabellenkopf">
    <w:name w:val="07_BAFU_Tabellenkopf"/>
    <w:basedOn w:val="07BAFUTabellelinks"/>
    <w:qFormat/>
    <w:rsid w:val="00CF6289"/>
    <w:rPr>
      <w:b/>
    </w:rPr>
  </w:style>
  <w:style w:type="paragraph" w:customStyle="1" w:styleId="07BAFUTabellezentriert">
    <w:name w:val="07_BAFU_Tabelle_zentriert"/>
    <w:basedOn w:val="07BAFUTabellelinks"/>
    <w:qFormat/>
    <w:rsid w:val="00CF6289"/>
    <w:pPr>
      <w:jc w:val="center"/>
    </w:pPr>
  </w:style>
  <w:style w:type="table" w:styleId="Gitternetztabelle2">
    <w:name w:val="Grid Table 2"/>
    <w:basedOn w:val="NormaleTabelle"/>
    <w:uiPriority w:val="47"/>
    <w:rsid w:val="00BF5276"/>
    <w:pPr>
      <w:spacing w:after="0" w:line="240" w:lineRule="auto"/>
    </w:pPr>
    <w:rPr>
      <w:lang w:val="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Pr/>
      <w:tcPr>
        <w:shd w:val="clear" w:color="auto" w:fill="D9D9D9"/>
      </w:tcPr>
    </w:tblStylePr>
    <w:tblStylePr w:type="band1Vert">
      <w:tblPr/>
      <w:tcPr>
        <w:shd w:val="clear" w:color="auto" w:fill="D9D9D9"/>
      </w:tcPr>
    </w:tblStylePr>
    <w:tblStylePr w:type="band1Horz">
      <w:tblPr/>
      <w:tcPr>
        <w:shd w:val="clear" w:color="auto" w:fill="D9D9D9"/>
      </w:tcPr>
    </w:tblStylePr>
  </w:style>
  <w:style w:type="paragraph" w:customStyle="1" w:styleId="07BAFUTabellelinksmitAufzhlung">
    <w:name w:val="07_BAFU_Tabelle_links_mit_Aufzählung"/>
    <w:basedOn w:val="07BAFUTabellelinks"/>
    <w:qFormat/>
    <w:rsid w:val="00CF6289"/>
    <w:pPr>
      <w:numPr>
        <w:numId w:val="5"/>
      </w:numPr>
    </w:pPr>
  </w:style>
  <w:style w:type="paragraph" w:customStyle="1" w:styleId="06aBAFULegendeTabellen-Nr">
    <w:name w:val="06a_BAFU_Legende_Tabellen-Nr"/>
    <w:basedOn w:val="06BAFULegendeTitel"/>
    <w:qFormat/>
    <w:rsid w:val="00A36765"/>
  </w:style>
  <w:style w:type="paragraph" w:customStyle="1" w:styleId="06bBAFULegendeTitelAbbildung-Nr">
    <w:name w:val="06b_BAFU_Legende_Titel_Abbildung-Nr."/>
    <w:basedOn w:val="06BAFULegendeTitel"/>
    <w:qFormat/>
    <w:rsid w:val="00AF3C5E"/>
  </w:style>
  <w:style w:type="paragraph" w:styleId="Beschriftung">
    <w:name w:val="caption"/>
    <w:basedOn w:val="Standard"/>
    <w:next w:val="Standard"/>
    <w:uiPriority w:val="35"/>
    <w:unhideWhenUsed/>
    <w:qFormat/>
    <w:rsid w:val="00392765"/>
    <w:pPr>
      <w:spacing w:after="200" w:line="240" w:lineRule="auto"/>
    </w:pPr>
    <w:rPr>
      <w:i/>
      <w:iCs/>
      <w:color w:val="485956" w:themeColor="text2"/>
      <w:sz w:val="18"/>
      <w:szCs w:val="18"/>
    </w:rPr>
  </w:style>
  <w:style w:type="paragraph" w:customStyle="1" w:styleId="00BAFUAbstractsStichwrterkursiv">
    <w:name w:val="00_BAFU_Abstracts_Stichwörter_kursiv"/>
    <w:basedOn w:val="Standard"/>
    <w:qFormat/>
    <w:rsid w:val="00174045"/>
    <w:pPr>
      <w:spacing w:line="283" w:lineRule="exact"/>
    </w:pPr>
    <w:rPr>
      <w:rFonts w:ascii="Times New Roman" w:hAnsi="Times New Roman" w:cs="Times New Roman"/>
      <w:i/>
      <w:sz w:val="17"/>
      <w:szCs w:val="17"/>
      <w:lang w:val="de-DE"/>
    </w:rPr>
  </w:style>
  <w:style w:type="paragraph" w:customStyle="1" w:styleId="00BAFUAbstractsStichwrterTitel">
    <w:name w:val="00_BAFU_Abstracts_Stichwörter_Titel"/>
    <w:basedOn w:val="Standard"/>
    <w:qFormat/>
    <w:rsid w:val="00174045"/>
    <w:pPr>
      <w:spacing w:after="0" w:line="283" w:lineRule="exact"/>
    </w:pPr>
    <w:rPr>
      <w:rFonts w:ascii="Arial" w:hAnsi="Arial" w:cs="Arial"/>
      <w:b/>
      <w:sz w:val="17"/>
      <w:szCs w:val="17"/>
      <w:lang w:val="de-DE"/>
    </w:rPr>
  </w:style>
  <w:style w:type="character" w:customStyle="1" w:styleId="05BAFUGrundschriftkursiv">
    <w:name w:val="05_BAFU_Grundschrift kursiv"/>
    <w:basedOn w:val="Absatz-Standardschriftart"/>
    <w:uiPriority w:val="1"/>
    <w:qFormat/>
    <w:rsid w:val="00FA5113"/>
    <w:rPr>
      <w:i/>
    </w:rPr>
  </w:style>
  <w:style w:type="paragraph" w:customStyle="1" w:styleId="03BAFUUntertitel">
    <w:name w:val="03_BAFU_Untertitel"/>
    <w:basedOn w:val="03BAFUUntertitelnummeriert"/>
    <w:qFormat/>
    <w:rsid w:val="004B7112"/>
    <w:pPr>
      <w:numPr>
        <w:ilvl w:val="0"/>
        <w:numId w:val="0"/>
      </w:numPr>
    </w:pPr>
  </w:style>
  <w:style w:type="paragraph" w:customStyle="1" w:styleId="02BAFUTitel">
    <w:name w:val="02_BAFU_Titel"/>
    <w:basedOn w:val="02BAFUTitelnummeriert"/>
    <w:qFormat/>
    <w:rsid w:val="004B7112"/>
    <w:pPr>
      <w:numPr>
        <w:numId w:val="0"/>
      </w:numPr>
    </w:pPr>
  </w:style>
  <w:style w:type="paragraph" w:customStyle="1" w:styleId="05BAFUMarginalientitel">
    <w:name w:val="05_BAFU_Marginalientitel"/>
    <w:basedOn w:val="05BAFUMarginalientext"/>
    <w:qFormat/>
    <w:rsid w:val="001616BD"/>
    <w:pPr>
      <w:spacing w:after="0"/>
    </w:pPr>
    <w:rPr>
      <w:b/>
    </w:rPr>
  </w:style>
  <w:style w:type="paragraph" w:customStyle="1" w:styleId="05BAFUGrundschriftAufzhlung2Hierarchieletzte">
    <w:name w:val="05_BAFU_Grundschrift Aufzählung 2. Hierarchie letzte"/>
    <w:basedOn w:val="05BAFUGrundschriftAufzhlung2Hierarchie"/>
    <w:qFormat/>
    <w:rsid w:val="00F71844"/>
    <w:pPr>
      <w:spacing w:after="283"/>
    </w:pPr>
  </w:style>
  <w:style w:type="paragraph" w:styleId="Listenabsatz">
    <w:name w:val="List Paragraph"/>
    <w:basedOn w:val="Standard"/>
    <w:uiPriority w:val="34"/>
    <w:unhideWhenUsed/>
    <w:qFormat/>
    <w:rsid w:val="00830F17"/>
    <w:pPr>
      <w:ind w:left="720"/>
      <w:contextualSpacing/>
    </w:pPr>
  </w:style>
  <w:style w:type="paragraph" w:customStyle="1" w:styleId="00BAFUPublikationUntertitel">
    <w:name w:val="00_BAFU_Publikation Untertitel"/>
    <w:basedOn w:val="Standard"/>
    <w:qFormat/>
    <w:rsid w:val="009D727E"/>
    <w:pPr>
      <w:tabs>
        <w:tab w:val="right" w:pos="9015"/>
      </w:tabs>
      <w:spacing w:after="284" w:line="283" w:lineRule="exact"/>
    </w:pPr>
    <w:rPr>
      <w:rFonts w:ascii="Arial" w:hAnsi="Arial" w:cs="Arial"/>
      <w:color w:val="FFFFFF" w:themeColor="background1"/>
      <w:sz w:val="24"/>
      <w:szCs w:val="24"/>
    </w:rPr>
  </w:style>
  <w:style w:type="paragraph" w:customStyle="1" w:styleId="03BAFUGlossartitel">
    <w:name w:val="03_BAFU_Glossartitel"/>
    <w:basedOn w:val="03BAFUUntertitel"/>
    <w:qFormat/>
    <w:rsid w:val="00153F00"/>
    <w:pPr>
      <w:spacing w:before="283"/>
    </w:pPr>
  </w:style>
  <w:style w:type="paragraph" w:styleId="Index1">
    <w:name w:val="index 1"/>
    <w:aliases w:val="08_BAFU_Glossar"/>
    <w:basedOn w:val="05BAFUGrundschriftohneAbstanddanach"/>
    <w:next w:val="Standard"/>
    <w:autoRedefine/>
    <w:uiPriority w:val="99"/>
    <w:semiHidden/>
    <w:unhideWhenUsed/>
    <w:rsid w:val="00763C01"/>
    <w:pPr>
      <w:spacing w:line="240" w:lineRule="auto"/>
    </w:pPr>
  </w:style>
  <w:style w:type="paragraph" w:styleId="Abbildungsverzeichnis">
    <w:name w:val="table of figures"/>
    <w:basedOn w:val="05BAFUGrundschriftohneAbstanddanach"/>
    <w:next w:val="Standard"/>
    <w:uiPriority w:val="99"/>
    <w:unhideWhenUsed/>
    <w:rsid w:val="000508B2"/>
  </w:style>
  <w:style w:type="paragraph" w:styleId="Sprechblasentext">
    <w:name w:val="Balloon Text"/>
    <w:basedOn w:val="Standard"/>
    <w:link w:val="SprechblasentextZchn"/>
    <w:uiPriority w:val="99"/>
    <w:semiHidden/>
    <w:unhideWhenUsed/>
    <w:rsid w:val="00F832E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832E0"/>
    <w:rPr>
      <w:rFonts w:ascii="Segoe UI" w:hAnsi="Segoe UI" w:cs="Segoe UI"/>
      <w:sz w:val="18"/>
      <w:szCs w:val="18"/>
    </w:rPr>
  </w:style>
  <w:style w:type="paragraph" w:customStyle="1" w:styleId="00BAFUAbstractIT">
    <w:name w:val="00_BAFU_Abstract IT"/>
    <w:basedOn w:val="00BAFUAbstractFR"/>
    <w:qFormat/>
    <w:rsid w:val="00141E0E"/>
    <w:pPr>
      <w:ind w:right="2438"/>
    </w:pPr>
    <w:rPr>
      <w:lang w:val="it-CH"/>
    </w:rPr>
  </w:style>
  <w:style w:type="paragraph" w:customStyle="1" w:styleId="Tabelle">
    <w:name w:val="Tabelle"/>
    <w:basedOn w:val="Standard"/>
    <w:rsid w:val="00824DEE"/>
    <w:pPr>
      <w:tabs>
        <w:tab w:val="left" w:pos="567"/>
      </w:tabs>
      <w:spacing w:before="20" w:after="20" w:line="240" w:lineRule="atLeast"/>
      <w:ind w:left="57" w:right="57"/>
    </w:pPr>
    <w:rPr>
      <w:rFonts w:ascii="Arial" w:eastAsia="Times New Roman" w:hAnsi="Arial" w:cs="Times New Roman"/>
      <w:sz w:val="18"/>
      <w:szCs w:val="20"/>
      <w:lang w:val="de-DE" w:eastAsia="de-DE"/>
    </w:rPr>
  </w:style>
  <w:style w:type="paragraph" w:customStyle="1" w:styleId="Erluterung1">
    <w:name w:val="Erläuterung 1"/>
    <w:basedOn w:val="Kopfzeile"/>
    <w:rsid w:val="00C249F0"/>
    <w:pPr>
      <w:tabs>
        <w:tab w:val="clear" w:pos="9072"/>
        <w:tab w:val="right" w:pos="8505"/>
      </w:tabs>
      <w:spacing w:line="280" w:lineRule="atLeast"/>
    </w:pPr>
    <w:rPr>
      <w:rFonts w:ascii="Helvetica" w:eastAsia="Times" w:hAnsi="Helvetica" w:cs="Times New Roman"/>
      <w:i/>
      <w:smallCaps/>
      <w:color w:val="008080"/>
      <w:sz w:val="20"/>
      <w:szCs w:val="20"/>
      <w:lang w:eastAsia="de-DE"/>
    </w:rPr>
  </w:style>
  <w:style w:type="paragraph" w:customStyle="1" w:styleId="Erluterung2">
    <w:name w:val="Erläuterung 2"/>
    <w:basedOn w:val="Standard"/>
    <w:rsid w:val="00D146C7"/>
    <w:pPr>
      <w:pBdr>
        <w:top w:val="single" w:sz="4" w:space="4" w:color="008080"/>
        <w:left w:val="single" w:sz="4" w:space="2" w:color="008080"/>
        <w:bottom w:val="single" w:sz="4" w:space="4" w:color="008080"/>
        <w:right w:val="single" w:sz="4" w:space="0" w:color="008080"/>
      </w:pBdr>
      <w:shd w:val="pct10" w:color="auto" w:fill="auto"/>
      <w:spacing w:after="0" w:line="280" w:lineRule="atLeast"/>
    </w:pPr>
    <w:rPr>
      <w:rFonts w:ascii="Helvetica" w:eastAsia="Times" w:hAnsi="Helvetica" w:cs="Times New Roman"/>
      <w:i/>
      <w:smallCaps/>
      <w:color w:val="008080"/>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www.umwelt-schweiz.ch/buwal/de/fachgebiete/index.html" TargetMode="External"/><Relationship Id="rId2" Type="http://schemas.openxmlformats.org/officeDocument/2006/relationships/hyperlink" Target="http://www.admin.ch/ch/f/rs/c814_610.html" TargetMode="External"/><Relationship Id="rId1" Type="http://schemas.openxmlformats.org/officeDocument/2006/relationships/hyperlink" Target="https://www.efbs.admin.ch/inhalte/dokumentation/empfehlungen/Empfehlungen_aktuell/Abfall_EFBS_F.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80842815\Downloads\VORL_Anhang_ESV.dotx" TargetMode="External"/></Relationships>
</file>

<file path=word/theme/theme1.xml><?xml version="1.0" encoding="utf-8"?>
<a:theme xmlns:a="http://schemas.openxmlformats.org/drawingml/2006/main" name="Office Theme">
  <a:themeElements>
    <a:clrScheme name="BAFU 02">
      <a:dk1>
        <a:srgbClr val="000000"/>
      </a:dk1>
      <a:lt1>
        <a:srgbClr val="FFFFFF"/>
      </a:lt1>
      <a:dk2>
        <a:srgbClr val="485956"/>
      </a:dk2>
      <a:lt2>
        <a:srgbClr val="9DB4C4"/>
      </a:lt2>
      <a:accent1>
        <a:srgbClr val="B4ACA6"/>
      </a:accent1>
      <a:accent2>
        <a:srgbClr val="93B479"/>
      </a:accent2>
      <a:accent3>
        <a:srgbClr val="008F85"/>
      </a:accent3>
      <a:accent4>
        <a:srgbClr val="62A8E5"/>
      </a:accent4>
      <a:accent5>
        <a:srgbClr val="32B8DF"/>
      </a:accent5>
      <a:accent6>
        <a:srgbClr val="FF5F55"/>
      </a:accent6>
      <a:hlink>
        <a:srgbClr val="19975D"/>
      </a:hlink>
      <a:folHlink>
        <a:srgbClr val="0078B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57BAA4-1E06-444C-B114-CE2F10B7C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VORL_Anhang_ESV.dotx</Template>
  <TotalTime>0</TotalTime>
  <Pages>6</Pages>
  <Words>1532</Words>
  <Characters>9655</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Aebischer Cindy BAFU</dc:creator>
  <cp:keywords/>
  <dc:description/>
  <cp:lastModifiedBy>Pre-Media</cp:lastModifiedBy>
  <cp:revision>30</cp:revision>
  <cp:lastPrinted>2019-09-05T12:42:00Z</cp:lastPrinted>
  <dcterms:created xsi:type="dcterms:W3CDTF">2020-02-04T14:53:00Z</dcterms:created>
  <dcterms:modified xsi:type="dcterms:W3CDTF">2020-02-04T15:36:00Z</dcterms:modified>
</cp:coreProperties>
</file>