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144FE2" w:rsidRDefault="00144FE2" w:rsidP="009E4C68">
      <w:pPr>
        <w:pStyle w:val="01BAFUKapiteltitelnummeriert"/>
        <w:numPr>
          <w:ilvl w:val="0"/>
          <w:numId w:val="0"/>
        </w:numPr>
        <w:rPr>
          <w:lang w:val="it-CH"/>
        </w:rPr>
      </w:pPr>
      <w:bookmarkStart w:id="0" w:name="_Toc12457507"/>
      <w:r w:rsidRPr="00144FE2">
        <w:rPr>
          <w:color w:val="B6BDBB"/>
          <w:lang w:val="it-CH"/>
        </w:rPr>
        <w:t>Allegato</w:t>
      </w:r>
      <w:r w:rsidR="009E4C68" w:rsidRPr="00144FE2">
        <w:rPr>
          <w:color w:val="B6BDBB"/>
          <w:lang w:val="it-CH"/>
        </w:rPr>
        <w:t xml:space="preserve"> </w:t>
      </w:r>
      <w:r w:rsidR="00984E0B" w:rsidRPr="00144FE2">
        <w:rPr>
          <w:color w:val="B6BDBB"/>
          <w:lang w:val="it-CH"/>
        </w:rPr>
        <w:t>1</w:t>
      </w:r>
      <w:r w:rsidR="00737F18" w:rsidRPr="00144FE2">
        <w:rPr>
          <w:color w:val="B6BDBB"/>
          <w:lang w:val="it-CH"/>
        </w:rPr>
        <w:t>4</w:t>
      </w:r>
      <w:r w:rsidR="009E4C68" w:rsidRPr="00144FE2">
        <w:rPr>
          <w:lang w:val="it-CH"/>
        </w:rPr>
        <w:t xml:space="preserve"> </w:t>
      </w:r>
      <w:r w:rsidR="009E4C68" w:rsidRPr="00144FE2">
        <w:rPr>
          <w:lang w:val="it-CH"/>
        </w:rPr>
        <w:br/>
      </w:r>
      <w:bookmarkEnd w:id="0"/>
      <w:r w:rsidRPr="00144FE2">
        <w:rPr>
          <w:bCs/>
          <w:lang w:val="it-CH"/>
        </w:rPr>
        <w:t>Piano di smaltimento per rifiuti contaminati da agenti biologici</w:t>
      </w:r>
    </w:p>
    <w:p w:rsidR="00737F18" w:rsidRPr="00144FE2" w:rsidRDefault="00144FE2" w:rsidP="00737F18">
      <w:pPr>
        <w:pStyle w:val="02BAFUTitelnummeriert"/>
        <w:numPr>
          <w:ilvl w:val="0"/>
          <w:numId w:val="0"/>
        </w:numPr>
        <w:rPr>
          <w:lang w:val="it-CH"/>
        </w:rPr>
      </w:pPr>
      <w:r w:rsidRPr="00144FE2">
        <w:rPr>
          <w:rFonts w:ascii="Times New Roman" w:hAnsi="Times New Roman" w:cs="Times New Roman"/>
          <w:b w:val="0"/>
          <w:i/>
          <w:noProof/>
          <w:sz w:val="20"/>
          <w:szCs w:val="20"/>
          <w:lang w:val="it-IT" w:eastAsia="de-CH"/>
        </w:rPr>
        <w:t>Il presente modello illustra una situazione concreta e va adeguato alla realtà aziendale.</w:t>
      </w:r>
    </w:p>
    <w:p w:rsidR="00DD5049" w:rsidRDefault="00144FE2" w:rsidP="00737F18">
      <w:pPr>
        <w:pStyle w:val="02BAFUTitelnummeriert"/>
      </w:pPr>
      <w:r w:rsidRPr="00144FE2">
        <w:rPr>
          <w:lang w:val="it-IT"/>
        </w:rPr>
        <w:t>Scopo</w:t>
      </w:r>
    </w:p>
    <w:p w:rsidR="00144FE2" w:rsidRPr="00144FE2" w:rsidRDefault="00144FE2" w:rsidP="00144FE2">
      <w:pPr>
        <w:pStyle w:val="05BAFUGrundschrift"/>
        <w:spacing w:after="0"/>
        <w:rPr>
          <w:lang w:val="it-CH"/>
        </w:rPr>
      </w:pPr>
      <w:r w:rsidRPr="00144FE2">
        <w:rPr>
          <w:lang w:val="it-CH"/>
        </w:rPr>
        <w:t>Il piano di smaltimento disciplina le modalità per l’eliminazione dei rifiuti contaminati da agenti biologici.</w:t>
      </w:r>
    </w:p>
    <w:p w:rsidR="00C249F0" w:rsidRPr="00144FE2" w:rsidRDefault="00144FE2" w:rsidP="00144FE2">
      <w:pPr>
        <w:pStyle w:val="05BAFUGrundschrift"/>
      </w:pPr>
      <w:r w:rsidRPr="00144FE2">
        <w:t>L’inattivazione dei rifiuti contaminati è un aspetto fondamentale per minimizzare il rischio di dispersione di organismi nei laboratori ed evitare così l’insorgere di pericoli per l’uomo e l’ambiente.</w:t>
      </w:r>
    </w:p>
    <w:tbl>
      <w:tblPr>
        <w:tblStyle w:val="Tabellenraster"/>
        <w:tblW w:w="0" w:type="auto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54"/>
      </w:tblGrid>
      <w:tr w:rsidR="00C249F0" w:rsidRPr="00C249F0" w:rsidTr="003F215E">
        <w:tc>
          <w:tcPr>
            <w:tcW w:w="9854" w:type="dxa"/>
            <w:shd w:val="clear" w:color="auto" w:fill="F2F2F2" w:themeFill="background1" w:themeFillShade="F2"/>
            <w:vAlign w:val="center"/>
          </w:tcPr>
          <w:p w:rsidR="00C249F0" w:rsidRPr="00144FE2" w:rsidRDefault="00144FE2" w:rsidP="00C249F0">
            <w:pPr>
              <w:pStyle w:val="Erluterung1"/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</w:pPr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IT"/>
              </w:rPr>
              <w:t xml:space="preserve">Le tecniche di inattivazione applicabili sono </w:t>
            </w:r>
            <w:smartTag w:uri="urn:schemas-microsoft-com:office:smarttags" w:element="PersonName">
              <w:smartTagPr>
                <w:attr w:name="ProductID" w:val="LA STERILIZZAZIONE A VAPORE"/>
              </w:smartTagPr>
              <w:r w:rsidRPr="00144FE2">
                <w:rPr>
                  <w:rFonts w:ascii="Arial" w:hAnsi="Arial"/>
                  <w:i w:val="0"/>
                  <w:smallCaps w:val="0"/>
                  <w:color w:val="000000" w:themeColor="text1"/>
                  <w:lang w:val="it-IT"/>
                </w:rPr>
                <w:t>la sterilizzazione a vapore</w:t>
              </w:r>
            </w:smartTag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IT"/>
              </w:rPr>
              <w:t xml:space="preserve"> (</w:t>
            </w:r>
            <w:proofErr w:type="spellStart"/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IT"/>
              </w:rPr>
              <w:t>autoclavaggio</w:t>
            </w:r>
            <w:proofErr w:type="spellEnd"/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IT"/>
              </w:rPr>
              <w:t xml:space="preserve">), l’inattivazione chimica e </w:t>
            </w:r>
            <w:smartTag w:uri="urn:schemas-microsoft-com:office:smarttags" w:element="PersonName">
              <w:smartTagPr>
                <w:attr w:name="ProductID" w:val="LA STERILIZZAZIONE CON CALORE"/>
              </w:smartTagPr>
              <w:r w:rsidRPr="00144FE2">
                <w:rPr>
                  <w:rFonts w:ascii="Arial" w:hAnsi="Arial"/>
                  <w:i w:val="0"/>
                  <w:smallCaps w:val="0"/>
                  <w:color w:val="000000" w:themeColor="text1"/>
                  <w:lang w:val="it-IT"/>
                </w:rPr>
                <w:t>la sterilizzazione con calore</w:t>
              </w:r>
            </w:smartTag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IT"/>
              </w:rPr>
              <w:t xml:space="preserve"> secco.</w:t>
            </w:r>
          </w:p>
          <w:p w:rsidR="00C249F0" w:rsidRPr="00144FE2" w:rsidRDefault="00C249F0" w:rsidP="00C249F0">
            <w:pPr>
              <w:pStyle w:val="Erluterung1"/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</w:pPr>
          </w:p>
          <w:p w:rsidR="00C249F0" w:rsidRPr="00144FE2" w:rsidRDefault="00144FE2" w:rsidP="00CA7010">
            <w:pPr>
              <w:pStyle w:val="Erluterung1"/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</w:pPr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IT"/>
              </w:rPr>
              <w:t>Le fasi rilevanti per l’inattivazione e dell’eliminazione dei rifiuti sono:</w:t>
            </w:r>
          </w:p>
          <w:p w:rsidR="00C249F0" w:rsidRPr="00144FE2" w:rsidRDefault="00C249F0" w:rsidP="00CA7010">
            <w:pPr>
              <w:pStyle w:val="Erluterung1"/>
              <w:ind w:left="907" w:hanging="340"/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</w:pPr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  <w:t>1.</w:t>
            </w:r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  <w:tab/>
            </w:r>
            <w:r w:rsidR="00144FE2" w:rsidRPr="00144FE2">
              <w:rPr>
                <w:rFonts w:ascii="Arial" w:hAnsi="Arial"/>
                <w:i w:val="0"/>
                <w:smallCaps w:val="0"/>
                <w:color w:val="000000" w:themeColor="text1"/>
                <w:lang w:val="it-IT"/>
              </w:rPr>
              <w:t>Descrizione dei rifiuti e modalità di raccolta</w:t>
            </w:r>
          </w:p>
          <w:p w:rsidR="00C249F0" w:rsidRPr="00144FE2" w:rsidRDefault="00C249F0" w:rsidP="00CA7010">
            <w:pPr>
              <w:pStyle w:val="Erluterung1"/>
              <w:ind w:left="907" w:hanging="340"/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</w:pPr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  <w:t>2.</w:t>
            </w:r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  <w:tab/>
            </w:r>
            <w:r w:rsidR="00144FE2" w:rsidRPr="00144FE2">
              <w:rPr>
                <w:rFonts w:ascii="Arial" w:hAnsi="Arial"/>
                <w:i w:val="0"/>
                <w:smallCaps w:val="0"/>
                <w:color w:val="000000" w:themeColor="text1"/>
                <w:lang w:val="it-IT"/>
              </w:rPr>
              <w:t>Etichettatura</w:t>
            </w:r>
          </w:p>
          <w:p w:rsidR="00C249F0" w:rsidRPr="00144FE2" w:rsidRDefault="00C249F0" w:rsidP="00CA7010">
            <w:pPr>
              <w:pStyle w:val="Erluterung1"/>
              <w:ind w:left="907" w:hanging="340"/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</w:pPr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  <w:t>3.</w:t>
            </w:r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  <w:tab/>
            </w:r>
            <w:r w:rsidR="00144FE2" w:rsidRPr="00144FE2">
              <w:rPr>
                <w:rFonts w:ascii="Arial" w:hAnsi="Arial"/>
                <w:i w:val="0"/>
                <w:smallCaps w:val="0"/>
                <w:color w:val="000000" w:themeColor="text1"/>
                <w:lang w:val="it-IT"/>
              </w:rPr>
              <w:t>Deposito</w:t>
            </w:r>
          </w:p>
          <w:p w:rsidR="00C249F0" w:rsidRPr="00144FE2" w:rsidRDefault="00C249F0" w:rsidP="00CA7010">
            <w:pPr>
              <w:pStyle w:val="Erluterung1"/>
              <w:ind w:left="907" w:hanging="340"/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</w:pPr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  <w:t>4.</w:t>
            </w:r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  <w:tab/>
            </w:r>
            <w:r w:rsidR="00144FE2" w:rsidRPr="00144FE2">
              <w:rPr>
                <w:rFonts w:ascii="Arial" w:hAnsi="Arial"/>
                <w:i w:val="0"/>
                <w:smallCaps w:val="0"/>
                <w:color w:val="000000" w:themeColor="text1"/>
                <w:lang w:val="it-IT"/>
              </w:rPr>
              <w:t>Trasporto</w:t>
            </w:r>
          </w:p>
          <w:p w:rsidR="00C249F0" w:rsidRPr="00144FE2" w:rsidRDefault="00C249F0" w:rsidP="00CA7010">
            <w:pPr>
              <w:pStyle w:val="Erluterung1"/>
              <w:ind w:left="907" w:hanging="340"/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</w:pPr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  <w:t>5.</w:t>
            </w:r>
            <w:r w:rsidRPr="00144FE2"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  <w:tab/>
            </w:r>
            <w:r w:rsidR="00144FE2" w:rsidRPr="00144FE2">
              <w:rPr>
                <w:rFonts w:ascii="Arial" w:hAnsi="Arial"/>
                <w:i w:val="0"/>
                <w:smallCaps w:val="0"/>
                <w:color w:val="000000" w:themeColor="text1"/>
                <w:lang w:val="it-CH"/>
              </w:rPr>
              <w:t>Inattivazione (metodo, tecnica)</w:t>
            </w:r>
          </w:p>
          <w:p w:rsidR="00CA7010" w:rsidRPr="00C249F0" w:rsidRDefault="00C249F0" w:rsidP="00505D36">
            <w:pPr>
              <w:pStyle w:val="Erluterung1"/>
              <w:ind w:left="907" w:hanging="340"/>
              <w:rPr>
                <w:rFonts w:ascii="Arial" w:hAnsi="Arial"/>
                <w:i w:val="0"/>
                <w:smallCaps w:val="0"/>
                <w:color w:val="000000" w:themeColor="text1"/>
              </w:rPr>
            </w:pPr>
            <w:r w:rsidRPr="00C249F0">
              <w:rPr>
                <w:rFonts w:ascii="Arial" w:hAnsi="Arial"/>
                <w:i w:val="0"/>
                <w:smallCaps w:val="0"/>
                <w:color w:val="000000" w:themeColor="text1"/>
              </w:rPr>
              <w:t>6.</w:t>
            </w:r>
            <w:r w:rsidRPr="00C249F0">
              <w:rPr>
                <w:rFonts w:ascii="Arial" w:hAnsi="Arial"/>
                <w:i w:val="0"/>
                <w:smallCaps w:val="0"/>
                <w:color w:val="000000" w:themeColor="text1"/>
              </w:rPr>
              <w:tab/>
            </w:r>
            <w:r w:rsidR="00144FE2" w:rsidRPr="00144FE2">
              <w:rPr>
                <w:rFonts w:ascii="Arial" w:hAnsi="Arial"/>
                <w:i w:val="0"/>
                <w:smallCaps w:val="0"/>
                <w:color w:val="000000" w:themeColor="text1"/>
                <w:lang w:val="it-IT"/>
              </w:rPr>
              <w:t>Smaltimento</w:t>
            </w:r>
          </w:p>
        </w:tc>
      </w:tr>
    </w:tbl>
    <w:p w:rsidR="00984E0B" w:rsidRPr="00DD5049" w:rsidRDefault="00984E0B" w:rsidP="00C249F0">
      <w:pPr>
        <w:pStyle w:val="02BAFUTitelnummeriert"/>
        <w:numPr>
          <w:ilvl w:val="0"/>
          <w:numId w:val="0"/>
        </w:numPr>
        <w:ind w:left="-14"/>
      </w:pPr>
    </w:p>
    <w:p w:rsidR="007C15F5" w:rsidRPr="00144FE2" w:rsidRDefault="00144FE2" w:rsidP="007C15F5">
      <w:pPr>
        <w:pStyle w:val="02BAFUTitelnummeriert"/>
        <w:rPr>
          <w:b w:val="0"/>
          <w:lang w:val="it-CH"/>
        </w:rPr>
      </w:pPr>
      <w:r w:rsidRPr="00144FE2">
        <w:rPr>
          <w:lang w:val="it-IT"/>
        </w:rPr>
        <w:t>Smaltimento dei rifiuti contaminati da agenti biologici</w:t>
      </w:r>
    </w:p>
    <w:p w:rsidR="007C15F5" w:rsidRPr="00144FE2" w:rsidRDefault="007C15F5" w:rsidP="00A318BE">
      <w:pPr>
        <w:pStyle w:val="03BAFUUntertitel"/>
        <w:ind w:left="392" w:hanging="392"/>
        <w:rPr>
          <w:noProof/>
          <w:lang w:val="it-CH" w:eastAsia="de-CH"/>
        </w:rPr>
      </w:pPr>
      <w:r w:rsidRPr="00144FE2">
        <w:rPr>
          <w:noProof/>
          <w:lang w:val="it-CH" w:eastAsia="de-CH"/>
        </w:rPr>
        <w:t>2.1</w:t>
      </w:r>
      <w:r w:rsidRPr="00144FE2">
        <w:rPr>
          <w:noProof/>
          <w:lang w:val="it-CH" w:eastAsia="de-CH"/>
        </w:rPr>
        <w:tab/>
      </w:r>
      <w:r w:rsidR="00144FE2" w:rsidRPr="00144FE2">
        <w:rPr>
          <w:bCs/>
          <w:i/>
          <w:iCs/>
          <w:noProof/>
          <w:lang w:val="it-IT" w:eastAsia="de-CH"/>
        </w:rPr>
        <w:t>Smaltimento come rifiuti speciali dei rifiuti con pericolo di lesione (sharps)</w:t>
      </w:r>
    </w:p>
    <w:p w:rsidR="00B16A2C" w:rsidRPr="00144FE2" w:rsidRDefault="00144FE2" w:rsidP="007C15F5">
      <w:pPr>
        <w:pStyle w:val="05BAFUGrundschrift"/>
        <w:rPr>
          <w:lang w:val="it-CH"/>
        </w:rPr>
      </w:pPr>
      <w:r w:rsidRPr="00144FE2">
        <w:rPr>
          <w:lang w:val="it-IT"/>
        </w:rPr>
        <w:t>I rifiuti con pericolo di lesione (</w:t>
      </w:r>
      <w:r w:rsidRPr="00144FE2">
        <w:rPr>
          <w:i/>
          <w:iCs/>
          <w:lang w:val="it-IT"/>
        </w:rPr>
        <w:t>sharps</w:t>
      </w:r>
      <w:r w:rsidRPr="00144FE2">
        <w:rPr>
          <w:lang w:val="it-IT"/>
        </w:rPr>
        <w:t>) non vengono eliminati con i rifiuti convenzionali ma come rifiuti speciali. Se sono contaminati da materiale infettivo devono prima essere autoclavati.</w:t>
      </w:r>
      <w:r>
        <w:rPr>
          <w:lang w:val="it-IT"/>
        </w:rPr>
        <w:t>b</w:t>
      </w:r>
    </w:p>
    <w:p w:rsidR="00976A40" w:rsidRPr="00144FE2" w:rsidRDefault="00144FE2" w:rsidP="00B16A2C">
      <w:pPr>
        <w:spacing w:after="60"/>
        <w:rPr>
          <w:rFonts w:ascii="Arial" w:hAnsi="Arial"/>
          <w:b/>
          <w:sz w:val="16"/>
          <w:szCs w:val="16"/>
        </w:rPr>
      </w:pPr>
      <w:proofErr w:type="spellStart"/>
      <w:r w:rsidRPr="00144FE2">
        <w:rPr>
          <w:rFonts w:ascii="Arial" w:hAnsi="Arial"/>
          <w:b/>
          <w:iCs/>
          <w:sz w:val="16"/>
          <w:szCs w:val="16"/>
        </w:rPr>
        <w:t>Codificazione</w:t>
      </w:r>
      <w:proofErr w:type="spellEnd"/>
      <w:r w:rsidRPr="00144FE2">
        <w:rPr>
          <w:rFonts w:ascii="Arial" w:hAnsi="Arial"/>
          <w:b/>
          <w:iCs/>
          <w:sz w:val="16"/>
          <w:szCs w:val="16"/>
        </w:rPr>
        <w:t xml:space="preserve"> </w:t>
      </w:r>
      <w:proofErr w:type="spellStart"/>
      <w:r w:rsidRPr="00144FE2">
        <w:rPr>
          <w:rFonts w:ascii="Arial" w:hAnsi="Arial"/>
          <w:b/>
          <w:iCs/>
          <w:sz w:val="16"/>
          <w:szCs w:val="16"/>
        </w:rPr>
        <w:t>secondo</w:t>
      </w:r>
      <w:proofErr w:type="spellEnd"/>
      <w:r w:rsidRPr="00144FE2">
        <w:rPr>
          <w:rFonts w:ascii="Arial" w:hAnsi="Arial"/>
          <w:b/>
          <w:iCs/>
          <w:sz w:val="16"/>
          <w:szCs w:val="16"/>
        </w:rPr>
        <w:t xml:space="preserve"> </w:t>
      </w:r>
      <w:proofErr w:type="spellStart"/>
      <w:r w:rsidRPr="00144FE2">
        <w:rPr>
          <w:rFonts w:ascii="Arial" w:hAnsi="Arial"/>
          <w:b/>
          <w:iCs/>
          <w:sz w:val="16"/>
          <w:szCs w:val="16"/>
        </w:rPr>
        <w:t>l’OTRif</w:t>
      </w:r>
      <w:proofErr w:type="spellEnd"/>
    </w:p>
    <w:tbl>
      <w:tblPr>
        <w:tblW w:w="988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30"/>
        <w:gridCol w:w="8358"/>
      </w:tblGrid>
      <w:tr w:rsidR="00EE022D" w:rsidRPr="00EE022D" w:rsidTr="003F215E"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:rsidR="00EE022D" w:rsidRPr="00EE022D" w:rsidRDefault="00144FE2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144FE2">
              <w:rPr>
                <w:b/>
                <w:bCs/>
                <w:sz w:val="16"/>
                <w:szCs w:val="16"/>
                <w:lang w:val="it-CH"/>
              </w:rPr>
              <w:t>Codice LTR</w:t>
            </w:r>
            <w:r w:rsidRPr="00144FE2">
              <w:rPr>
                <w:b/>
                <w:sz w:val="16"/>
                <w:szCs w:val="16"/>
                <w:vertAlign w:val="superscript"/>
                <w:lang w:val="de-CH"/>
              </w:rPr>
              <w:t xml:space="preserve"> </w:t>
            </w:r>
            <w:r w:rsidR="0042796B">
              <w:rPr>
                <w:rStyle w:val="Funotenzeichen"/>
                <w:b/>
                <w:sz w:val="16"/>
                <w:szCs w:val="16"/>
                <w:lang w:val="de-CH"/>
              </w:rPr>
              <w:footnoteReference w:id="1"/>
            </w:r>
          </w:p>
        </w:tc>
        <w:tc>
          <w:tcPr>
            <w:tcW w:w="8358" w:type="dxa"/>
            <w:tcBorders>
              <w:top w:val="single" w:sz="4" w:space="0" w:color="auto"/>
            </w:tcBorders>
            <w:shd w:val="clear" w:color="auto" w:fill="auto"/>
          </w:tcPr>
          <w:p w:rsidR="00EE022D" w:rsidRPr="00EE022D" w:rsidRDefault="00144FE2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144FE2">
              <w:rPr>
                <w:b/>
                <w:bCs/>
                <w:sz w:val="16"/>
                <w:szCs w:val="16"/>
                <w:lang w:val="it-CH"/>
              </w:rPr>
              <w:t>Descrizione</w:t>
            </w:r>
          </w:p>
        </w:tc>
      </w:tr>
      <w:tr w:rsidR="00EE022D" w:rsidRPr="00144FE2" w:rsidTr="003F215E"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EE022D" w:rsidRPr="00EE022D" w:rsidRDefault="00EE022D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EE022D">
              <w:rPr>
                <w:sz w:val="16"/>
                <w:szCs w:val="16"/>
                <w:lang w:val="de-CH"/>
              </w:rPr>
              <w:t>18 01 01</w:t>
            </w:r>
          </w:p>
        </w:tc>
        <w:tc>
          <w:tcPr>
            <w:tcW w:w="8358" w:type="dxa"/>
            <w:shd w:val="clear" w:color="auto" w:fill="F2F2F2" w:themeFill="background1" w:themeFillShade="F2"/>
          </w:tcPr>
          <w:p w:rsidR="00EE022D" w:rsidRPr="00144FE2" w:rsidRDefault="00144FE2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it-CH"/>
              </w:rPr>
            </w:pPr>
            <w:r w:rsidRPr="00144FE2">
              <w:rPr>
                <w:sz w:val="16"/>
                <w:szCs w:val="16"/>
                <w:lang w:val="it-CH"/>
              </w:rPr>
              <w:t>Rifiuti con pericolo di lesione (</w:t>
            </w:r>
            <w:proofErr w:type="spellStart"/>
            <w:r w:rsidRPr="00144FE2">
              <w:rPr>
                <w:sz w:val="16"/>
                <w:szCs w:val="16"/>
                <w:lang w:val="it-CH"/>
              </w:rPr>
              <w:t>sharps</w:t>
            </w:r>
            <w:proofErr w:type="spellEnd"/>
            <w:r w:rsidRPr="00144FE2">
              <w:rPr>
                <w:sz w:val="16"/>
                <w:szCs w:val="16"/>
                <w:lang w:val="it-CH"/>
              </w:rPr>
              <w:t>)</w:t>
            </w:r>
          </w:p>
        </w:tc>
      </w:tr>
    </w:tbl>
    <w:p w:rsidR="005A2236" w:rsidRPr="00144FE2" w:rsidRDefault="005A2236" w:rsidP="005A2236">
      <w:pPr>
        <w:pStyle w:val="05BAFUGrundschriftAufzhlung"/>
        <w:numPr>
          <w:ilvl w:val="0"/>
          <w:numId w:val="0"/>
        </w:numPr>
        <w:ind w:left="720" w:hanging="360"/>
        <w:rPr>
          <w:lang w:val="it-CH"/>
        </w:rPr>
      </w:pPr>
    </w:p>
    <w:p w:rsidR="005A2236" w:rsidRPr="00144FE2" w:rsidRDefault="00144FE2" w:rsidP="005A2236">
      <w:pPr>
        <w:spacing w:after="60"/>
        <w:rPr>
          <w:rFonts w:ascii="Arial" w:hAnsi="Arial"/>
          <w:b/>
          <w:sz w:val="16"/>
          <w:szCs w:val="16"/>
          <w:lang w:val="it-CH"/>
        </w:rPr>
      </w:pPr>
      <w:r w:rsidRPr="00144FE2">
        <w:rPr>
          <w:rFonts w:ascii="Arial" w:hAnsi="Arial"/>
          <w:b/>
          <w:iCs/>
          <w:sz w:val="16"/>
          <w:szCs w:val="16"/>
          <w:lang w:val="it-CH"/>
        </w:rPr>
        <w:t>Classificazione secondo l'ADR/SDR (merce pericolosa)</w:t>
      </w:r>
    </w:p>
    <w:tbl>
      <w:tblPr>
        <w:tblW w:w="987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31"/>
        <w:gridCol w:w="1417"/>
        <w:gridCol w:w="1553"/>
        <w:gridCol w:w="851"/>
        <w:gridCol w:w="4522"/>
      </w:tblGrid>
      <w:tr w:rsidR="005A2236" w:rsidRPr="00144FE2" w:rsidTr="003F215E"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</w:tcPr>
          <w:p w:rsidR="005A2236" w:rsidRPr="005A2236" w:rsidRDefault="00144FE2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144FE2">
              <w:rPr>
                <w:b/>
                <w:bCs/>
                <w:sz w:val="16"/>
                <w:szCs w:val="16"/>
                <w:lang w:val="it-CH"/>
              </w:rPr>
              <w:t>Classe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5A2236" w:rsidRPr="005A2236" w:rsidRDefault="00144FE2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144FE2">
              <w:rPr>
                <w:b/>
                <w:bCs/>
                <w:sz w:val="16"/>
                <w:szCs w:val="16"/>
                <w:lang w:val="it-CH"/>
              </w:rPr>
              <w:t>Categoria</w:t>
            </w:r>
          </w:p>
        </w:tc>
        <w:tc>
          <w:tcPr>
            <w:tcW w:w="1553" w:type="dxa"/>
            <w:tcBorders>
              <w:top w:val="single" w:sz="4" w:space="0" w:color="auto"/>
            </w:tcBorders>
            <w:shd w:val="clear" w:color="auto" w:fill="auto"/>
          </w:tcPr>
          <w:p w:rsidR="005A2236" w:rsidRPr="005A2236" w:rsidRDefault="00144FE2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144FE2">
              <w:rPr>
                <w:b/>
                <w:bCs/>
                <w:sz w:val="16"/>
                <w:szCs w:val="16"/>
                <w:lang w:val="it-CH"/>
              </w:rPr>
              <w:t>Numero UN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5A2236" w:rsidRPr="005A2236" w:rsidRDefault="00144FE2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>
              <w:rPr>
                <w:b/>
                <w:sz w:val="16"/>
                <w:szCs w:val="16"/>
                <w:lang w:val="de-CH"/>
              </w:rPr>
              <w:t>GI</w:t>
            </w:r>
            <w:r w:rsidR="0042796B">
              <w:rPr>
                <w:rStyle w:val="Funotenzeichen"/>
                <w:b/>
                <w:sz w:val="16"/>
                <w:szCs w:val="16"/>
                <w:lang w:val="de-CH"/>
              </w:rPr>
              <w:footnoteReference w:id="2"/>
            </w:r>
          </w:p>
        </w:tc>
        <w:tc>
          <w:tcPr>
            <w:tcW w:w="4522" w:type="dxa"/>
            <w:tcBorders>
              <w:top w:val="single" w:sz="4" w:space="0" w:color="auto"/>
            </w:tcBorders>
            <w:shd w:val="clear" w:color="auto" w:fill="auto"/>
          </w:tcPr>
          <w:p w:rsidR="005A2236" w:rsidRPr="00144FE2" w:rsidRDefault="00144FE2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it-CH"/>
              </w:rPr>
            </w:pPr>
            <w:r w:rsidRPr="00144FE2">
              <w:rPr>
                <w:b/>
                <w:bCs/>
                <w:sz w:val="16"/>
                <w:szCs w:val="16"/>
                <w:lang w:val="it-CH"/>
              </w:rPr>
              <w:t>Limite di esenzione secondo l’ADR/OSAS</w:t>
            </w:r>
          </w:p>
        </w:tc>
      </w:tr>
      <w:tr w:rsidR="005A2236" w:rsidRPr="005A2236" w:rsidTr="003F215E">
        <w:tc>
          <w:tcPr>
            <w:tcW w:w="1531" w:type="dxa"/>
            <w:shd w:val="clear" w:color="auto" w:fill="F2F2F2" w:themeFill="background1" w:themeFillShade="F2"/>
            <w:vAlign w:val="center"/>
          </w:tcPr>
          <w:p w:rsidR="005A2236" w:rsidRPr="005A2236" w:rsidRDefault="005A2236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5A2236">
              <w:rPr>
                <w:sz w:val="16"/>
                <w:szCs w:val="16"/>
                <w:lang w:val="de-CH"/>
              </w:rPr>
              <w:t>6.2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5A2236" w:rsidRPr="005A2236" w:rsidRDefault="005A2236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5A2236">
              <w:rPr>
                <w:sz w:val="16"/>
                <w:szCs w:val="16"/>
                <w:lang w:val="de-CH"/>
              </w:rPr>
              <w:t>B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:rsidR="005A2236" w:rsidRPr="005A2236" w:rsidRDefault="005A2236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5A2236">
              <w:rPr>
                <w:sz w:val="16"/>
                <w:szCs w:val="16"/>
                <w:lang w:val="de-CH"/>
              </w:rPr>
              <w:t>3291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5A2236" w:rsidRPr="005A2236" w:rsidRDefault="005A2236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5A2236">
              <w:rPr>
                <w:sz w:val="16"/>
                <w:szCs w:val="16"/>
                <w:lang w:val="de-CH"/>
              </w:rPr>
              <w:t>II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5A2236" w:rsidRPr="005A2236" w:rsidRDefault="005A2236" w:rsidP="00144FE2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5A2236">
              <w:rPr>
                <w:sz w:val="16"/>
                <w:szCs w:val="16"/>
                <w:lang w:val="de-CH"/>
              </w:rPr>
              <w:t xml:space="preserve">333 kg </w:t>
            </w:r>
            <w:r w:rsidR="00144FE2">
              <w:rPr>
                <w:sz w:val="16"/>
                <w:szCs w:val="16"/>
                <w:lang w:val="de-CH"/>
              </w:rPr>
              <w:t>o l</w:t>
            </w:r>
          </w:p>
        </w:tc>
      </w:tr>
    </w:tbl>
    <w:p w:rsidR="00852AF0" w:rsidRDefault="00852AF0">
      <w:pPr>
        <w:sectPr w:rsidR="00852AF0" w:rsidSect="004E03D2">
          <w:headerReference w:type="default" r:id="rId8"/>
          <w:pgSz w:w="11906" w:h="16838" w:code="9"/>
          <w:pgMar w:top="2892" w:right="1021" w:bottom="794" w:left="1021" w:header="850" w:footer="0" w:gutter="0"/>
          <w:cols w:space="708"/>
          <w:docGrid w:linePitch="360"/>
        </w:sectPr>
      </w:pPr>
    </w:p>
    <w:p w:rsidR="00852AF0" w:rsidRPr="00144FE2" w:rsidRDefault="00626941" w:rsidP="00626941">
      <w:pPr>
        <w:pStyle w:val="03BAFUUntertitel"/>
        <w:ind w:left="392" w:hanging="392"/>
        <w:rPr>
          <w:rStyle w:val="05BAFUGrundschriftkursiv"/>
          <w:lang w:val="it-CH"/>
        </w:rPr>
      </w:pPr>
      <w:r w:rsidRPr="00144FE2">
        <w:rPr>
          <w:noProof/>
          <w:lang w:val="it-CH" w:eastAsia="de-CH"/>
        </w:rPr>
        <w:lastRenderedPageBreak/>
        <w:t>2.2</w:t>
      </w:r>
      <w:r w:rsidRPr="00144FE2">
        <w:rPr>
          <w:noProof/>
          <w:lang w:val="it-CH" w:eastAsia="de-CH"/>
        </w:rPr>
        <w:tab/>
      </w:r>
      <w:r w:rsidR="00144FE2" w:rsidRPr="00144FE2">
        <w:rPr>
          <w:bCs/>
          <w:iCs/>
          <w:noProof/>
          <w:lang w:val="it-CH" w:eastAsia="de-CH"/>
        </w:rPr>
        <w:t>Piano di smaltimento per rifiuti solidi</w:t>
      </w:r>
      <w:r w:rsidR="00ED7710" w:rsidRPr="00144FE2">
        <w:rPr>
          <w:rStyle w:val="05BAFUGrundschriftkursiv"/>
          <w:b w:val="0"/>
          <w:i w:val="0"/>
          <w:lang w:val="it-CH"/>
        </w:rPr>
        <w:br/>
      </w:r>
    </w:p>
    <w:tbl>
      <w:tblPr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4364"/>
        <w:gridCol w:w="6591"/>
        <w:gridCol w:w="2881"/>
        <w:gridCol w:w="656"/>
      </w:tblGrid>
      <w:tr w:rsidR="00626941" w:rsidRPr="00626941" w:rsidTr="00626941">
        <w:trPr>
          <w:trHeight w:val="20"/>
          <w:tblHeader/>
        </w:trPr>
        <w:tc>
          <w:tcPr>
            <w:tcW w:w="230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textDirection w:val="btLr"/>
            <w:vAlign w:val="center"/>
          </w:tcPr>
          <w:p w:rsidR="00626941" w:rsidRPr="00144FE2" w:rsidRDefault="00626941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b/>
                <w:sz w:val="16"/>
                <w:szCs w:val="16"/>
                <w:lang w:val="it-CH"/>
              </w:rPr>
            </w:pPr>
          </w:p>
        </w:tc>
        <w:tc>
          <w:tcPr>
            <w:tcW w:w="1436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626941" w:rsidRPr="00626941" w:rsidRDefault="00144FE2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  <w:r w:rsidRPr="00144FE2">
              <w:rPr>
                <w:rFonts w:ascii="Arial" w:hAnsi="Arial" w:cs="Arial"/>
                <w:b/>
                <w:bCs/>
                <w:sz w:val="16"/>
                <w:szCs w:val="16"/>
                <w:lang w:val="it-CH"/>
              </w:rPr>
              <w:t>Rifiuti solidi</w:t>
            </w:r>
          </w:p>
        </w:tc>
        <w:tc>
          <w:tcPr>
            <w:tcW w:w="2169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626941" w:rsidRPr="00626941" w:rsidRDefault="00144FE2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  <w:r w:rsidRPr="00144FE2">
              <w:rPr>
                <w:rFonts w:ascii="Arial" w:hAnsi="Arial" w:cs="Arial"/>
                <w:b/>
                <w:bCs/>
                <w:sz w:val="16"/>
                <w:szCs w:val="16"/>
                <w:lang w:val="it-CH"/>
              </w:rPr>
              <w:t>Come</w:t>
            </w:r>
          </w:p>
        </w:tc>
        <w:tc>
          <w:tcPr>
            <w:tcW w:w="948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626941" w:rsidRPr="00626941" w:rsidRDefault="00144FE2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  <w:r w:rsidRPr="00144FE2">
              <w:rPr>
                <w:rFonts w:ascii="Arial" w:hAnsi="Arial" w:cs="Arial"/>
                <w:b/>
                <w:bCs/>
                <w:sz w:val="16"/>
                <w:szCs w:val="16"/>
                <w:lang w:val="it-CH"/>
              </w:rPr>
              <w:t>Quanto / periodicità</w:t>
            </w:r>
          </w:p>
        </w:tc>
        <w:tc>
          <w:tcPr>
            <w:tcW w:w="216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626941" w:rsidRPr="00626941" w:rsidRDefault="00144FE2" w:rsidP="006E0165">
            <w:pPr>
              <w:spacing w:before="20" w:after="20" w:line="240" w:lineRule="exact"/>
              <w:ind w:left="57" w:right="57"/>
              <w:rPr>
                <w:rFonts w:ascii="Arial" w:hAnsi="Arial" w:cs="Arial"/>
                <w:b/>
                <w:sz w:val="16"/>
                <w:szCs w:val="16"/>
              </w:rPr>
            </w:pPr>
            <w:r w:rsidRPr="00144FE2">
              <w:rPr>
                <w:rFonts w:ascii="Arial" w:hAnsi="Arial" w:cs="Arial"/>
                <w:b/>
                <w:bCs/>
                <w:sz w:val="16"/>
                <w:szCs w:val="16"/>
                <w:lang w:val="it-CH"/>
              </w:rPr>
              <w:t>Chi</w:t>
            </w:r>
          </w:p>
        </w:tc>
      </w:tr>
      <w:tr w:rsidR="00144FE2" w:rsidRPr="00144FE2" w:rsidTr="00FC4611">
        <w:trPr>
          <w:trHeight w:val="20"/>
        </w:trPr>
        <w:tc>
          <w:tcPr>
            <w:tcW w:w="230" w:type="pct"/>
            <w:vMerge w:val="restart"/>
            <w:tcBorders>
              <w:top w:val="nil"/>
            </w:tcBorders>
            <w:shd w:val="clear" w:color="auto" w:fill="D9D9D9" w:themeFill="background1" w:themeFillShade="D9"/>
            <w:textDirection w:val="btLr"/>
            <w:vAlign w:val="center"/>
          </w:tcPr>
          <w:p w:rsidR="00144FE2" w:rsidRPr="00144FE2" w:rsidRDefault="00144FE2" w:rsidP="00144FE2">
            <w:pPr>
              <w:pStyle w:val="Tabelle"/>
              <w:spacing w:line="240" w:lineRule="exact"/>
              <w:jc w:val="center"/>
              <w:rPr>
                <w:b/>
                <w:sz w:val="16"/>
                <w:szCs w:val="16"/>
                <w:lang w:val="it-IT"/>
              </w:rPr>
            </w:pPr>
            <w:r w:rsidRPr="00144FE2">
              <w:rPr>
                <w:b/>
                <w:bCs/>
                <w:sz w:val="16"/>
                <w:szCs w:val="16"/>
                <w:lang w:val="it-CH"/>
              </w:rPr>
              <w:t>Descrizione dei rifiuti e modalità di raccolta</w:t>
            </w:r>
          </w:p>
        </w:tc>
        <w:tc>
          <w:tcPr>
            <w:tcW w:w="1436" w:type="pct"/>
            <w:tcBorders>
              <w:top w:val="nil"/>
            </w:tcBorders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sz w:val="16"/>
                <w:szCs w:val="16"/>
                <w:lang w:val="it-IT"/>
              </w:rPr>
            </w:pPr>
            <w:r w:rsidRPr="00144FE2">
              <w:rPr>
                <w:sz w:val="16"/>
                <w:szCs w:val="16"/>
                <w:lang w:val="it-CH"/>
              </w:rPr>
              <w:t>Principi della raccolta differenziata</w:t>
            </w:r>
          </w:p>
        </w:tc>
        <w:tc>
          <w:tcPr>
            <w:tcW w:w="2169" w:type="pct"/>
            <w:tcBorders>
              <w:top w:val="nil"/>
            </w:tcBorders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before="0" w:after="0" w:line="200" w:lineRule="exact"/>
              <w:ind w:right="0"/>
              <w:rPr>
                <w:rFonts w:cs="Arial"/>
                <w:sz w:val="16"/>
                <w:szCs w:val="16"/>
                <w:lang w:val="it-CH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>I vetri vanno separati dai rifiuti in plastica e dai rifiuti con pericolo di lesione</w:t>
            </w:r>
          </w:p>
        </w:tc>
        <w:tc>
          <w:tcPr>
            <w:tcW w:w="948" w:type="pct"/>
            <w:tcBorders>
              <w:top w:val="nil"/>
            </w:tcBorders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  <w:tc>
          <w:tcPr>
            <w:tcW w:w="216" w:type="pct"/>
            <w:tcBorders>
              <w:top w:val="nil"/>
            </w:tcBorders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</w:tr>
      <w:tr w:rsidR="00144FE2" w:rsidRPr="00144FE2" w:rsidTr="00FC4611">
        <w:trPr>
          <w:trHeight w:val="863"/>
        </w:trPr>
        <w:tc>
          <w:tcPr>
            <w:tcW w:w="230" w:type="pct"/>
            <w:vMerge/>
            <w:shd w:val="clear" w:color="auto" w:fill="D9D9D9" w:themeFill="background1" w:themeFillShade="D9"/>
            <w:textDirection w:val="btLr"/>
            <w:vAlign w:val="center"/>
          </w:tcPr>
          <w:p w:rsidR="00144FE2" w:rsidRPr="00144FE2" w:rsidRDefault="00144FE2" w:rsidP="00144FE2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it-CH"/>
              </w:rPr>
            </w:pPr>
          </w:p>
        </w:tc>
        <w:tc>
          <w:tcPr>
            <w:tcW w:w="1436" w:type="pc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>Materiale contaminato con pericolo di lesione (</w:t>
            </w:r>
            <w:proofErr w:type="spellStart"/>
            <w:r w:rsidRPr="00144FE2">
              <w:rPr>
                <w:rFonts w:cs="Arial"/>
                <w:iCs/>
                <w:sz w:val="16"/>
                <w:szCs w:val="16"/>
                <w:lang w:val="it-CH"/>
              </w:rPr>
              <w:t>sharps</w:t>
            </w:r>
            <w:proofErr w:type="spellEnd"/>
            <w:r w:rsidRPr="00144FE2">
              <w:rPr>
                <w:rFonts w:cs="Arial"/>
                <w:sz w:val="16"/>
                <w:szCs w:val="16"/>
                <w:lang w:val="it-CH"/>
              </w:rPr>
              <w:t>),</w:t>
            </w:r>
            <w:r w:rsidRPr="00144FE2">
              <w:rPr>
                <w:rFonts w:cs="Arial"/>
                <w:sz w:val="16"/>
                <w:szCs w:val="16"/>
                <w:lang w:val="it-IT"/>
              </w:rPr>
              <w:t xml:space="preserve"> </w:t>
            </w:r>
            <w:r w:rsidRPr="00144FE2">
              <w:rPr>
                <w:rFonts w:cs="Arial"/>
                <w:sz w:val="16"/>
                <w:szCs w:val="16"/>
                <w:lang w:val="it-CH"/>
              </w:rPr>
              <w:t>ad es. siringhe, scalpelli e aghi</w:t>
            </w:r>
          </w:p>
        </w:tc>
        <w:tc>
          <w:tcPr>
            <w:tcW w:w="2169" w:type="pc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 xml:space="preserve">Raccogliere il materiale in contenitori di plastica rigida resistenti alla perforazione, impermeabili e a chiusura ermetica, non più apribili dopo la chiusura </w:t>
            </w:r>
          </w:p>
        </w:tc>
        <w:tc>
          <w:tcPr>
            <w:tcW w:w="948" w:type="pc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>Quando necessario, ovvero fintanto che il contenitore per la raccolta può essere chiuso senza pericolo</w:t>
            </w:r>
          </w:p>
        </w:tc>
        <w:tc>
          <w:tcPr>
            <w:tcW w:w="216" w:type="pc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</w:tr>
      <w:tr w:rsidR="00144FE2" w:rsidRPr="00144FE2" w:rsidTr="00FC4611">
        <w:trPr>
          <w:trHeight w:val="564"/>
        </w:trPr>
        <w:tc>
          <w:tcPr>
            <w:tcW w:w="230" w:type="pct"/>
            <w:vMerge/>
            <w:shd w:val="clear" w:color="auto" w:fill="D9D9D9" w:themeFill="background1" w:themeFillShade="D9"/>
            <w:textDirection w:val="btLr"/>
            <w:vAlign w:val="center"/>
          </w:tcPr>
          <w:p w:rsidR="00144FE2" w:rsidRPr="00144FE2" w:rsidRDefault="00144FE2" w:rsidP="00144FE2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it-CH"/>
              </w:rPr>
            </w:pPr>
          </w:p>
        </w:tc>
        <w:tc>
          <w:tcPr>
            <w:tcW w:w="1436" w:type="pc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>Colture di microrganismi (ad es. piastre di agar, bottiglie per colture cellulari in plastica senza mezzo di coltura)</w:t>
            </w:r>
          </w:p>
        </w:tc>
        <w:tc>
          <w:tcPr>
            <w:tcW w:w="2169" w:type="pct"/>
            <w:vMerge w:val="restar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 xml:space="preserve">Raccogliere (insieme o separatamente) in sacchi </w:t>
            </w:r>
            <w:proofErr w:type="spellStart"/>
            <w:r w:rsidRPr="00144FE2">
              <w:rPr>
                <w:rFonts w:cs="Arial"/>
                <w:sz w:val="16"/>
                <w:szCs w:val="16"/>
                <w:lang w:val="it-CH"/>
              </w:rPr>
              <w:t>autoclavabili</w:t>
            </w:r>
            <w:proofErr w:type="spellEnd"/>
            <w:r w:rsidRPr="00144FE2">
              <w:rPr>
                <w:rFonts w:cs="Arial"/>
                <w:sz w:val="16"/>
                <w:szCs w:val="16"/>
                <w:lang w:val="it-CH"/>
              </w:rPr>
              <w:t xml:space="preserve"> in contenitori rigidi e a tenuta dotati di coperchio</w:t>
            </w:r>
          </w:p>
        </w:tc>
        <w:tc>
          <w:tcPr>
            <w:tcW w:w="948" w:type="pct"/>
            <w:vMerge w:val="restar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>Quando necessario o quando i sacchi sono riempiti al massimo per 2/3; non comprimere!</w:t>
            </w:r>
          </w:p>
        </w:tc>
        <w:tc>
          <w:tcPr>
            <w:tcW w:w="216" w:type="pc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</w:tr>
      <w:tr w:rsidR="00144FE2" w:rsidRPr="00144FE2" w:rsidTr="00FC4611">
        <w:trPr>
          <w:trHeight w:val="564"/>
        </w:trPr>
        <w:tc>
          <w:tcPr>
            <w:tcW w:w="230" w:type="pct"/>
            <w:vMerge/>
            <w:shd w:val="clear" w:color="auto" w:fill="D9D9D9" w:themeFill="background1" w:themeFillShade="D9"/>
            <w:textDirection w:val="btLr"/>
            <w:vAlign w:val="center"/>
          </w:tcPr>
          <w:p w:rsidR="00144FE2" w:rsidRPr="00144FE2" w:rsidRDefault="00144FE2" w:rsidP="00144FE2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it-CH"/>
              </w:rPr>
            </w:pPr>
          </w:p>
        </w:tc>
        <w:tc>
          <w:tcPr>
            <w:tcW w:w="1436" w:type="pc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 xml:space="preserve">Materiale di consumo contaminato senza pericolo di lesione (punte di pipette, pipette in plastica, tubi </w:t>
            </w:r>
            <w:proofErr w:type="spellStart"/>
            <w:r w:rsidRPr="00144FE2">
              <w:rPr>
                <w:rFonts w:cs="Arial"/>
                <w:sz w:val="16"/>
                <w:szCs w:val="16"/>
                <w:lang w:val="it-CH"/>
              </w:rPr>
              <w:t>eppendorf</w:t>
            </w:r>
            <w:proofErr w:type="spellEnd"/>
            <w:r w:rsidRPr="00144FE2">
              <w:rPr>
                <w:rFonts w:cs="Arial"/>
                <w:sz w:val="16"/>
                <w:szCs w:val="16"/>
                <w:lang w:val="it-CH"/>
              </w:rPr>
              <w:t>, contenitori di plastica, guanti monouso)</w:t>
            </w:r>
          </w:p>
        </w:tc>
        <w:tc>
          <w:tcPr>
            <w:tcW w:w="2169" w:type="pct"/>
            <w:vMerge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  <w:tc>
          <w:tcPr>
            <w:tcW w:w="948" w:type="pct"/>
            <w:vMerge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  <w:tc>
          <w:tcPr>
            <w:tcW w:w="216" w:type="pc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</w:tr>
      <w:tr w:rsidR="00144FE2" w:rsidRPr="00144FE2" w:rsidTr="00FC4611">
        <w:trPr>
          <w:trHeight w:val="564"/>
        </w:trPr>
        <w:tc>
          <w:tcPr>
            <w:tcW w:w="230" w:type="pct"/>
            <w:vMerge/>
            <w:shd w:val="clear" w:color="auto" w:fill="D9D9D9" w:themeFill="background1" w:themeFillShade="D9"/>
            <w:textDirection w:val="btLr"/>
            <w:vAlign w:val="center"/>
          </w:tcPr>
          <w:p w:rsidR="00144FE2" w:rsidRPr="00144FE2" w:rsidRDefault="00144FE2" w:rsidP="00144FE2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it-CH"/>
              </w:rPr>
            </w:pPr>
          </w:p>
        </w:tc>
        <w:tc>
          <w:tcPr>
            <w:tcW w:w="1436" w:type="pc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>Campioni diagnostici (campioni di sangue, secrezioni, escrezioni, campioni di tessuti in tubicini di plastica)</w:t>
            </w:r>
          </w:p>
        </w:tc>
        <w:tc>
          <w:tcPr>
            <w:tcW w:w="2169" w:type="pct"/>
            <w:vMerge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  <w:tc>
          <w:tcPr>
            <w:tcW w:w="948" w:type="pct"/>
            <w:vMerge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  <w:tc>
          <w:tcPr>
            <w:tcW w:w="216" w:type="pc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</w:tr>
      <w:tr w:rsidR="00144FE2" w:rsidRPr="00144FE2" w:rsidTr="001C0228">
        <w:trPr>
          <w:trHeight w:val="1048"/>
        </w:trPr>
        <w:tc>
          <w:tcPr>
            <w:tcW w:w="230" w:type="pct"/>
            <w:textDirection w:val="btLr"/>
            <w:vAlign w:val="center"/>
          </w:tcPr>
          <w:p w:rsidR="00144FE2" w:rsidRPr="00626941" w:rsidRDefault="00144FE2" w:rsidP="00144FE2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de-CH"/>
              </w:rPr>
            </w:pPr>
            <w:proofErr w:type="spellStart"/>
            <w:r w:rsidRPr="00144FE2">
              <w:rPr>
                <w:rFonts w:cs="Arial"/>
                <w:b/>
                <w:bCs/>
                <w:sz w:val="16"/>
                <w:szCs w:val="16"/>
                <w:lang w:val="de-CH"/>
              </w:rPr>
              <w:t>Etichettatura</w:t>
            </w:r>
            <w:proofErr w:type="spellEnd"/>
          </w:p>
        </w:tc>
        <w:tc>
          <w:tcPr>
            <w:tcW w:w="1436" w:type="pct"/>
          </w:tcPr>
          <w:p w:rsidR="00144FE2" w:rsidRPr="00626941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</w:p>
        </w:tc>
        <w:tc>
          <w:tcPr>
            <w:tcW w:w="2169" w:type="pct"/>
          </w:tcPr>
          <w:p w:rsidR="00144FE2" w:rsidRPr="00144FE2" w:rsidRDefault="00144FE2" w:rsidP="00144FE2">
            <w:pPr>
              <w:pStyle w:val="Tabelle"/>
              <w:rPr>
                <w:rFonts w:cs="Arial"/>
                <w:sz w:val="16"/>
                <w:szCs w:val="16"/>
                <w:lang w:val="it-IT"/>
              </w:rPr>
            </w:pPr>
            <w:r w:rsidRPr="00144FE2">
              <w:rPr>
                <w:rFonts w:cs="Arial"/>
                <w:sz w:val="16"/>
                <w:szCs w:val="16"/>
                <w:lang w:val="it-IT"/>
              </w:rPr>
              <w:t>Etichettare tutti i contenitori o i sacchi per rifiuti con un contrassegno di rischio biologico</w:t>
            </w:r>
          </w:p>
          <w:p w:rsidR="00144FE2" w:rsidRPr="00144FE2" w:rsidRDefault="00144FE2" w:rsidP="00144FE2">
            <w:pPr>
              <w:pStyle w:val="Tabelle"/>
              <w:rPr>
                <w:rFonts w:cs="Arial"/>
                <w:sz w:val="16"/>
                <w:szCs w:val="16"/>
                <w:lang w:val="it-IT"/>
              </w:rPr>
            </w:pPr>
            <w:r w:rsidRPr="00144FE2">
              <w:rPr>
                <w:rFonts w:cs="Arial"/>
                <w:sz w:val="16"/>
                <w:szCs w:val="16"/>
                <w:lang w:val="it-IT"/>
              </w:rPr>
              <w:t>Apporre sui rifiuti con pericolo di lesione un’apposita avvertenza (ad es. «Attenzione aghi»)</w:t>
            </w:r>
          </w:p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  <w:r w:rsidRPr="00144FE2">
              <w:rPr>
                <w:rFonts w:cs="Arial"/>
                <w:sz w:val="16"/>
                <w:szCs w:val="16"/>
                <w:lang w:val="it-IT"/>
              </w:rPr>
              <w:t>Prima dell’</w:t>
            </w:r>
            <w:proofErr w:type="spellStart"/>
            <w:r w:rsidRPr="00144FE2">
              <w:rPr>
                <w:rFonts w:cs="Arial"/>
                <w:sz w:val="16"/>
                <w:szCs w:val="16"/>
                <w:lang w:val="it-IT"/>
              </w:rPr>
              <w:t>autoclavaggio</w:t>
            </w:r>
            <w:proofErr w:type="spellEnd"/>
            <w:r w:rsidRPr="00144FE2">
              <w:rPr>
                <w:rFonts w:cs="Arial"/>
                <w:sz w:val="16"/>
                <w:szCs w:val="16"/>
                <w:lang w:val="it-IT"/>
              </w:rPr>
              <w:t xml:space="preserve"> applicare un indicatore termosensibile sui contenitori e sui sacchi</w:t>
            </w:r>
          </w:p>
        </w:tc>
        <w:tc>
          <w:tcPr>
            <w:tcW w:w="948" w:type="pct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  <w:tc>
          <w:tcPr>
            <w:tcW w:w="216" w:type="pct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</w:tr>
      <w:tr w:rsidR="00144FE2" w:rsidRPr="00626941" w:rsidTr="00FC4611">
        <w:trPr>
          <w:trHeight w:val="20"/>
        </w:trPr>
        <w:tc>
          <w:tcPr>
            <w:tcW w:w="230" w:type="pct"/>
            <w:shd w:val="clear" w:color="auto" w:fill="D9D9D9" w:themeFill="background1" w:themeFillShade="D9"/>
            <w:textDirection w:val="btLr"/>
            <w:vAlign w:val="center"/>
          </w:tcPr>
          <w:p w:rsidR="00144FE2" w:rsidRPr="00626941" w:rsidRDefault="00144FE2" w:rsidP="00144FE2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de-CH"/>
              </w:rPr>
            </w:pPr>
            <w:r w:rsidRPr="00144FE2">
              <w:rPr>
                <w:rFonts w:cs="Arial"/>
                <w:b/>
                <w:bCs/>
                <w:sz w:val="16"/>
                <w:szCs w:val="16"/>
                <w:lang w:val="it-CH"/>
              </w:rPr>
              <w:t>Deposito</w:t>
            </w:r>
          </w:p>
        </w:tc>
        <w:tc>
          <w:tcPr>
            <w:tcW w:w="1436" w:type="pct"/>
            <w:shd w:val="clear" w:color="auto" w:fill="F2F2F2" w:themeFill="background1" w:themeFillShade="F2"/>
          </w:tcPr>
          <w:p w:rsidR="00144FE2" w:rsidRPr="00626941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>Deposito intermedio nel laboratorio</w:t>
            </w:r>
          </w:p>
        </w:tc>
        <w:tc>
          <w:tcPr>
            <w:tcW w:w="2169" w:type="pc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rPr>
                <w:rFonts w:cs="Arial"/>
                <w:sz w:val="16"/>
                <w:szCs w:val="16"/>
                <w:lang w:val="it-IT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 xml:space="preserve">I contenitori aperti e i piccoli sacchi (fino a </w:t>
            </w:r>
            <w:smartTag w:uri="urn:schemas-microsoft-com:office:smarttags" w:element="metricconverter">
              <w:smartTagPr>
                <w:attr w:name="ProductID" w:val="2 l"/>
              </w:smartTagPr>
              <w:r w:rsidRPr="00144FE2">
                <w:rPr>
                  <w:rFonts w:cs="Arial"/>
                  <w:sz w:val="16"/>
                  <w:szCs w:val="16"/>
                  <w:lang w:val="it-CH"/>
                </w:rPr>
                <w:t>2 l</w:t>
              </w:r>
            </w:smartTag>
            <w:r w:rsidRPr="00144FE2">
              <w:rPr>
                <w:rFonts w:cs="Arial"/>
                <w:sz w:val="16"/>
                <w:szCs w:val="16"/>
                <w:lang w:val="it-CH"/>
              </w:rPr>
              <w:t>) possono essere depositati per breve tempo nella zona di lavoro del banco di sicurezza microbiologica ma vanno eliminati almeno 1 volta alla settimana in sacchi di sicurezza più capienti</w:t>
            </w:r>
            <w:r w:rsidRPr="00144FE2">
              <w:rPr>
                <w:rFonts w:cs="Arial"/>
                <w:sz w:val="16"/>
                <w:szCs w:val="16"/>
                <w:lang w:val="it-IT"/>
              </w:rPr>
              <w:t xml:space="preserve"> </w:t>
            </w:r>
          </w:p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>Mettere i sacchi chiusi e contrassegnati dall’etichetta di rischio biologico (</w:t>
            </w:r>
            <w:proofErr w:type="spellStart"/>
            <w:r w:rsidRPr="00144FE2">
              <w:rPr>
                <w:rFonts w:cs="Arial"/>
                <w:sz w:val="16"/>
                <w:szCs w:val="16"/>
                <w:lang w:val="it-CH"/>
              </w:rPr>
              <w:t>biohazard</w:t>
            </w:r>
            <w:proofErr w:type="spellEnd"/>
            <w:r w:rsidRPr="00144FE2">
              <w:rPr>
                <w:rFonts w:cs="Arial"/>
                <w:sz w:val="16"/>
                <w:szCs w:val="16"/>
                <w:lang w:val="it-CH"/>
              </w:rPr>
              <w:t>) in un container</w:t>
            </w:r>
          </w:p>
        </w:tc>
        <w:tc>
          <w:tcPr>
            <w:tcW w:w="948" w:type="pct"/>
            <w:shd w:val="clear" w:color="auto" w:fill="F2F2F2" w:themeFill="background1" w:themeFillShade="F2"/>
          </w:tcPr>
          <w:p w:rsidR="00144FE2" w:rsidRPr="00626941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>1 volta alla settimana</w:t>
            </w:r>
          </w:p>
        </w:tc>
        <w:tc>
          <w:tcPr>
            <w:tcW w:w="216" w:type="pct"/>
            <w:shd w:val="clear" w:color="auto" w:fill="F2F2F2" w:themeFill="background1" w:themeFillShade="F2"/>
          </w:tcPr>
          <w:p w:rsidR="00144FE2" w:rsidRPr="00626941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</w:p>
        </w:tc>
      </w:tr>
      <w:tr w:rsidR="00144FE2" w:rsidRPr="00626941" w:rsidTr="00C76B89">
        <w:trPr>
          <w:trHeight w:val="273"/>
        </w:trPr>
        <w:tc>
          <w:tcPr>
            <w:tcW w:w="230" w:type="pct"/>
            <w:textDirection w:val="btLr"/>
            <w:vAlign w:val="center"/>
          </w:tcPr>
          <w:p w:rsidR="00144FE2" w:rsidRPr="00626941" w:rsidRDefault="00144FE2" w:rsidP="00144FE2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de-CH"/>
              </w:rPr>
            </w:pPr>
            <w:r w:rsidRPr="00144FE2">
              <w:rPr>
                <w:rFonts w:cs="Arial"/>
                <w:b/>
                <w:bCs/>
                <w:sz w:val="16"/>
                <w:szCs w:val="16"/>
                <w:lang w:val="it-CH"/>
              </w:rPr>
              <w:t>Trasporto</w:t>
            </w:r>
          </w:p>
        </w:tc>
        <w:tc>
          <w:tcPr>
            <w:tcW w:w="1436" w:type="pct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>Trasporto al sito di trattamento</w:t>
            </w:r>
          </w:p>
        </w:tc>
        <w:tc>
          <w:tcPr>
            <w:tcW w:w="2169" w:type="pct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 xml:space="preserve">Portare i container all’impianto di autoclave lungo il percorso più breve e inattivare </w:t>
            </w:r>
            <w:r w:rsidRPr="00144FE2">
              <w:rPr>
                <w:rFonts w:cs="Arial"/>
                <w:b/>
                <w:bCs/>
                <w:sz w:val="16"/>
                <w:szCs w:val="16"/>
                <w:lang w:val="it-CH"/>
              </w:rPr>
              <w:t>tempestivamente</w:t>
            </w:r>
            <w:r w:rsidRPr="00144FE2">
              <w:rPr>
                <w:rFonts w:cs="Arial"/>
                <w:sz w:val="16"/>
                <w:szCs w:val="16"/>
                <w:lang w:val="it-CH"/>
              </w:rPr>
              <w:t xml:space="preserve"> il materiale contaminato senza ulteriore deposito intermedio</w:t>
            </w:r>
          </w:p>
        </w:tc>
        <w:tc>
          <w:tcPr>
            <w:tcW w:w="948" w:type="pct"/>
          </w:tcPr>
          <w:p w:rsidR="00144FE2" w:rsidRPr="00626941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  <w:r w:rsidRPr="00144FE2">
              <w:rPr>
                <w:rFonts w:cs="Arial"/>
                <w:sz w:val="16"/>
                <w:szCs w:val="16"/>
                <w:lang w:val="it-CH"/>
              </w:rPr>
              <w:t>1 volta alla settimana</w:t>
            </w:r>
          </w:p>
        </w:tc>
        <w:tc>
          <w:tcPr>
            <w:tcW w:w="216" w:type="pct"/>
          </w:tcPr>
          <w:p w:rsidR="00144FE2" w:rsidRPr="00626941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</w:p>
        </w:tc>
      </w:tr>
      <w:tr w:rsidR="00144FE2" w:rsidRPr="00144FE2" w:rsidTr="00FC4611">
        <w:trPr>
          <w:trHeight w:val="20"/>
        </w:trPr>
        <w:tc>
          <w:tcPr>
            <w:tcW w:w="230" w:type="pct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144FE2" w:rsidRPr="00626941" w:rsidRDefault="00144FE2" w:rsidP="00144FE2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de-CH"/>
              </w:rPr>
            </w:pPr>
            <w:r w:rsidRPr="00144FE2">
              <w:rPr>
                <w:rFonts w:cs="Arial"/>
                <w:b/>
                <w:bCs/>
                <w:sz w:val="16"/>
                <w:szCs w:val="16"/>
                <w:lang w:val="it-CH"/>
              </w:rPr>
              <w:t>Inattivazione</w:t>
            </w:r>
          </w:p>
        </w:tc>
        <w:tc>
          <w:tcPr>
            <w:tcW w:w="1436" w:type="pct"/>
            <w:shd w:val="clear" w:color="auto" w:fill="F2F2F2" w:themeFill="background1" w:themeFillShade="F2"/>
          </w:tcPr>
          <w:p w:rsidR="00144FE2" w:rsidRPr="00626941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  <w:proofErr w:type="spellStart"/>
            <w:r w:rsidRPr="00144FE2">
              <w:rPr>
                <w:rFonts w:cs="Arial"/>
                <w:sz w:val="16"/>
                <w:szCs w:val="16"/>
                <w:lang w:val="de-CH"/>
              </w:rPr>
              <w:t>Caricamento</w:t>
            </w:r>
            <w:proofErr w:type="spellEnd"/>
            <w:r w:rsidRPr="00144FE2">
              <w:rPr>
                <w:rFonts w:cs="Arial"/>
                <w:sz w:val="16"/>
                <w:szCs w:val="16"/>
                <w:lang w:val="de-CH"/>
              </w:rPr>
              <w:t xml:space="preserve"> </w:t>
            </w:r>
            <w:proofErr w:type="spellStart"/>
            <w:r w:rsidRPr="00144FE2">
              <w:rPr>
                <w:rFonts w:cs="Arial"/>
                <w:sz w:val="16"/>
                <w:szCs w:val="16"/>
                <w:lang w:val="de-CH"/>
              </w:rPr>
              <w:t>dell’autoclave</w:t>
            </w:r>
            <w:proofErr w:type="spellEnd"/>
          </w:p>
        </w:tc>
        <w:tc>
          <w:tcPr>
            <w:tcW w:w="2169" w:type="pc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  <w:r w:rsidRPr="00144FE2">
              <w:rPr>
                <w:rFonts w:cs="Arial"/>
                <w:sz w:val="16"/>
                <w:szCs w:val="16"/>
                <w:lang w:val="it-IT"/>
              </w:rPr>
              <w:t>L’autoclave dev’essere caricata e attivata da personale qualificato</w:t>
            </w:r>
          </w:p>
        </w:tc>
        <w:tc>
          <w:tcPr>
            <w:tcW w:w="948" w:type="pc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  <w:tc>
          <w:tcPr>
            <w:tcW w:w="216" w:type="pct"/>
            <w:shd w:val="clear" w:color="auto" w:fill="F2F2F2" w:themeFill="background1" w:themeFillShade="F2"/>
          </w:tcPr>
          <w:p w:rsidR="00144FE2" w:rsidRPr="00144FE2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</w:tr>
      <w:tr w:rsidR="00144FE2" w:rsidRPr="00CD2411" w:rsidTr="00FC4611">
        <w:trPr>
          <w:trHeight w:val="20"/>
        </w:trPr>
        <w:tc>
          <w:tcPr>
            <w:tcW w:w="230" w:type="pct"/>
            <w:vMerge/>
            <w:shd w:val="clear" w:color="auto" w:fill="D9D9D9" w:themeFill="background1" w:themeFillShade="D9"/>
            <w:textDirection w:val="btLr"/>
            <w:vAlign w:val="center"/>
          </w:tcPr>
          <w:p w:rsidR="00144FE2" w:rsidRPr="00144FE2" w:rsidRDefault="00144FE2" w:rsidP="00144FE2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it-CH"/>
              </w:rPr>
            </w:pPr>
          </w:p>
        </w:tc>
        <w:tc>
          <w:tcPr>
            <w:tcW w:w="1436" w:type="pct"/>
            <w:shd w:val="clear" w:color="auto" w:fill="F2F2F2" w:themeFill="background1" w:themeFillShade="F2"/>
          </w:tcPr>
          <w:p w:rsidR="00144FE2" w:rsidRPr="00626941" w:rsidRDefault="00CD2411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  <w:r w:rsidRPr="00CD2411">
              <w:rPr>
                <w:rFonts w:cs="Arial"/>
                <w:sz w:val="16"/>
                <w:szCs w:val="16"/>
                <w:lang w:val="it-CH"/>
              </w:rPr>
              <w:t>Controllo dell’inattivazione</w:t>
            </w:r>
          </w:p>
        </w:tc>
        <w:tc>
          <w:tcPr>
            <w:tcW w:w="2169" w:type="pct"/>
            <w:shd w:val="clear" w:color="auto" w:fill="F2F2F2" w:themeFill="background1" w:themeFillShade="F2"/>
          </w:tcPr>
          <w:p w:rsidR="00144FE2" w:rsidRPr="00CD2411" w:rsidRDefault="00CD2411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  <w:r w:rsidRPr="00CD2411">
              <w:rPr>
                <w:rFonts w:cs="Arial"/>
                <w:sz w:val="16"/>
                <w:szCs w:val="16"/>
                <w:lang w:val="it-CH"/>
              </w:rPr>
              <w:t xml:space="preserve">Raccogliere e archiviare i protocolli di </w:t>
            </w:r>
            <w:proofErr w:type="spellStart"/>
            <w:r w:rsidRPr="00CD2411">
              <w:rPr>
                <w:rFonts w:cs="Arial"/>
                <w:sz w:val="16"/>
                <w:szCs w:val="16"/>
                <w:lang w:val="it-CH"/>
              </w:rPr>
              <w:t>autoclavaggio</w:t>
            </w:r>
            <w:proofErr w:type="spellEnd"/>
          </w:p>
        </w:tc>
        <w:tc>
          <w:tcPr>
            <w:tcW w:w="948" w:type="pct"/>
            <w:shd w:val="clear" w:color="auto" w:fill="F2F2F2" w:themeFill="background1" w:themeFillShade="F2"/>
          </w:tcPr>
          <w:p w:rsidR="00144FE2" w:rsidRPr="00CD2411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  <w:tc>
          <w:tcPr>
            <w:tcW w:w="216" w:type="pct"/>
            <w:shd w:val="clear" w:color="auto" w:fill="F2F2F2" w:themeFill="background1" w:themeFillShade="F2"/>
          </w:tcPr>
          <w:p w:rsidR="00144FE2" w:rsidRPr="00CD2411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</w:tr>
      <w:tr w:rsidR="00144FE2" w:rsidRPr="00626941" w:rsidTr="00FC4611">
        <w:trPr>
          <w:trHeight w:val="20"/>
        </w:trPr>
        <w:tc>
          <w:tcPr>
            <w:tcW w:w="230" w:type="pct"/>
            <w:vMerge/>
            <w:shd w:val="clear" w:color="auto" w:fill="D9D9D9" w:themeFill="background1" w:themeFillShade="D9"/>
            <w:textDirection w:val="btLr"/>
            <w:vAlign w:val="center"/>
          </w:tcPr>
          <w:p w:rsidR="00144FE2" w:rsidRPr="00CD2411" w:rsidRDefault="00144FE2" w:rsidP="00144FE2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it-CH"/>
              </w:rPr>
            </w:pPr>
          </w:p>
        </w:tc>
        <w:tc>
          <w:tcPr>
            <w:tcW w:w="1436" w:type="pct"/>
            <w:shd w:val="clear" w:color="auto" w:fill="F2F2F2" w:themeFill="background1" w:themeFillShade="F2"/>
          </w:tcPr>
          <w:p w:rsidR="00144FE2" w:rsidRPr="00626941" w:rsidRDefault="00CD2411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  <w:r w:rsidRPr="00CD2411">
              <w:rPr>
                <w:rFonts w:cs="Arial"/>
                <w:sz w:val="16"/>
                <w:szCs w:val="16"/>
                <w:lang w:val="it-CH"/>
              </w:rPr>
              <w:t>Manutenzione dell'impianto</w:t>
            </w:r>
          </w:p>
        </w:tc>
        <w:tc>
          <w:tcPr>
            <w:tcW w:w="2169" w:type="pct"/>
            <w:shd w:val="clear" w:color="auto" w:fill="F2F2F2" w:themeFill="background1" w:themeFillShade="F2"/>
          </w:tcPr>
          <w:p w:rsidR="00144FE2" w:rsidRPr="00CD2411" w:rsidRDefault="00CD2411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  <w:r w:rsidRPr="00CD2411">
              <w:rPr>
                <w:rFonts w:cs="Arial"/>
                <w:sz w:val="16"/>
                <w:szCs w:val="16"/>
                <w:lang w:val="it-CH"/>
              </w:rPr>
              <w:t>Sottoporre l’autoclave a interventi manutentivi conformemente al piano di manutenzione</w:t>
            </w:r>
          </w:p>
        </w:tc>
        <w:tc>
          <w:tcPr>
            <w:tcW w:w="948" w:type="pct"/>
            <w:shd w:val="clear" w:color="auto" w:fill="F2F2F2" w:themeFill="background1" w:themeFillShade="F2"/>
          </w:tcPr>
          <w:p w:rsidR="00144FE2" w:rsidRPr="00626941" w:rsidRDefault="00CD2411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  <w:proofErr w:type="spellStart"/>
            <w:r w:rsidRPr="00CD2411">
              <w:rPr>
                <w:rFonts w:cs="Arial"/>
                <w:sz w:val="16"/>
                <w:szCs w:val="16"/>
                <w:lang w:val="de-CH"/>
              </w:rPr>
              <w:t>Almeno</w:t>
            </w:r>
            <w:proofErr w:type="spellEnd"/>
            <w:r w:rsidRPr="00CD2411">
              <w:rPr>
                <w:rFonts w:cs="Arial"/>
                <w:sz w:val="16"/>
                <w:szCs w:val="16"/>
                <w:lang w:val="de-CH"/>
              </w:rPr>
              <w:t xml:space="preserve"> 1 </w:t>
            </w:r>
            <w:proofErr w:type="spellStart"/>
            <w:r w:rsidRPr="00CD2411">
              <w:rPr>
                <w:rFonts w:cs="Arial"/>
                <w:sz w:val="16"/>
                <w:szCs w:val="16"/>
                <w:lang w:val="de-CH"/>
              </w:rPr>
              <w:t>volta</w:t>
            </w:r>
            <w:proofErr w:type="spellEnd"/>
            <w:r w:rsidRPr="00CD2411">
              <w:rPr>
                <w:rFonts w:cs="Arial"/>
                <w:sz w:val="16"/>
                <w:szCs w:val="16"/>
                <w:lang w:val="de-CH"/>
              </w:rPr>
              <w:t xml:space="preserve"> </w:t>
            </w:r>
            <w:proofErr w:type="spellStart"/>
            <w:r w:rsidRPr="00CD2411">
              <w:rPr>
                <w:rFonts w:cs="Arial"/>
                <w:sz w:val="16"/>
                <w:szCs w:val="16"/>
                <w:lang w:val="de-CH"/>
              </w:rPr>
              <w:t>all’anno</w:t>
            </w:r>
            <w:proofErr w:type="spellEnd"/>
          </w:p>
        </w:tc>
        <w:tc>
          <w:tcPr>
            <w:tcW w:w="216" w:type="pct"/>
            <w:shd w:val="clear" w:color="auto" w:fill="F2F2F2" w:themeFill="background1" w:themeFillShade="F2"/>
          </w:tcPr>
          <w:p w:rsidR="00144FE2" w:rsidRPr="00626941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</w:p>
        </w:tc>
      </w:tr>
      <w:tr w:rsidR="00144FE2" w:rsidRPr="00CD2411" w:rsidTr="00626941">
        <w:trPr>
          <w:trHeight w:val="20"/>
        </w:trPr>
        <w:tc>
          <w:tcPr>
            <w:tcW w:w="230" w:type="pct"/>
            <w:textDirection w:val="btLr"/>
            <w:vAlign w:val="center"/>
          </w:tcPr>
          <w:p w:rsidR="00144FE2" w:rsidRPr="00626941" w:rsidRDefault="00144FE2" w:rsidP="00144FE2">
            <w:pPr>
              <w:pStyle w:val="Tabelle"/>
              <w:spacing w:before="0" w:after="0" w:line="200" w:lineRule="exact"/>
              <w:ind w:left="0" w:right="0"/>
              <w:jc w:val="center"/>
              <w:rPr>
                <w:rFonts w:cs="Arial"/>
                <w:b/>
                <w:sz w:val="16"/>
                <w:szCs w:val="16"/>
                <w:lang w:val="de-CH"/>
              </w:rPr>
            </w:pPr>
            <w:r w:rsidRPr="00144FE2">
              <w:rPr>
                <w:rFonts w:cs="Arial"/>
                <w:b/>
                <w:bCs/>
                <w:sz w:val="16"/>
                <w:szCs w:val="16"/>
                <w:lang w:val="it-CH"/>
              </w:rPr>
              <w:t>Smaltimento</w:t>
            </w:r>
          </w:p>
        </w:tc>
        <w:tc>
          <w:tcPr>
            <w:tcW w:w="1436" w:type="pct"/>
          </w:tcPr>
          <w:p w:rsidR="00144FE2" w:rsidRPr="00626941" w:rsidRDefault="00CD2411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de-CH"/>
              </w:rPr>
            </w:pPr>
            <w:proofErr w:type="spellStart"/>
            <w:r w:rsidRPr="00CD2411">
              <w:rPr>
                <w:rFonts w:cs="Arial"/>
                <w:sz w:val="16"/>
                <w:szCs w:val="16"/>
                <w:lang w:val="de-CH"/>
              </w:rPr>
              <w:t>Smaltimento</w:t>
            </w:r>
            <w:proofErr w:type="spellEnd"/>
            <w:r w:rsidRPr="00CD2411">
              <w:rPr>
                <w:rFonts w:cs="Arial"/>
                <w:sz w:val="16"/>
                <w:szCs w:val="16"/>
                <w:lang w:val="de-CH"/>
              </w:rPr>
              <w:t xml:space="preserve"> </w:t>
            </w:r>
            <w:proofErr w:type="spellStart"/>
            <w:r w:rsidRPr="00CD2411">
              <w:rPr>
                <w:rFonts w:cs="Arial"/>
                <w:sz w:val="16"/>
                <w:szCs w:val="16"/>
                <w:lang w:val="de-CH"/>
              </w:rPr>
              <w:t>dei</w:t>
            </w:r>
            <w:proofErr w:type="spellEnd"/>
            <w:r w:rsidRPr="00CD2411">
              <w:rPr>
                <w:rFonts w:cs="Arial"/>
                <w:sz w:val="16"/>
                <w:szCs w:val="16"/>
                <w:lang w:val="de-CH"/>
              </w:rPr>
              <w:t xml:space="preserve"> </w:t>
            </w:r>
            <w:proofErr w:type="spellStart"/>
            <w:r w:rsidRPr="00CD2411">
              <w:rPr>
                <w:rFonts w:cs="Arial"/>
                <w:sz w:val="16"/>
                <w:szCs w:val="16"/>
                <w:lang w:val="de-CH"/>
              </w:rPr>
              <w:t>rifiuti</w:t>
            </w:r>
            <w:proofErr w:type="spellEnd"/>
            <w:r w:rsidRPr="00CD2411">
              <w:rPr>
                <w:rFonts w:cs="Arial"/>
                <w:sz w:val="16"/>
                <w:szCs w:val="16"/>
                <w:lang w:val="de-CH"/>
              </w:rPr>
              <w:t xml:space="preserve"> </w:t>
            </w:r>
            <w:proofErr w:type="spellStart"/>
            <w:r w:rsidRPr="00CD2411">
              <w:rPr>
                <w:rFonts w:cs="Arial"/>
                <w:sz w:val="16"/>
                <w:szCs w:val="16"/>
                <w:lang w:val="de-CH"/>
              </w:rPr>
              <w:t>autoclavati</w:t>
            </w:r>
            <w:proofErr w:type="spellEnd"/>
          </w:p>
        </w:tc>
        <w:tc>
          <w:tcPr>
            <w:tcW w:w="2169" w:type="pct"/>
          </w:tcPr>
          <w:p w:rsidR="00CD2411" w:rsidRPr="00CD2411" w:rsidRDefault="00CD2411" w:rsidP="00CD2411">
            <w:pPr>
              <w:pStyle w:val="Tabelle"/>
              <w:rPr>
                <w:rFonts w:cs="Arial"/>
                <w:sz w:val="16"/>
                <w:szCs w:val="16"/>
                <w:lang w:val="it-IT"/>
              </w:rPr>
            </w:pPr>
            <w:r w:rsidRPr="00CD2411">
              <w:rPr>
                <w:rFonts w:cs="Arial"/>
                <w:sz w:val="16"/>
                <w:szCs w:val="16"/>
                <w:lang w:val="it-IT"/>
              </w:rPr>
              <w:t>I rifiuti di vetro che non pongono particolari problemi e che sono assimilabili ai rifiuti urbani (ad es. tubi di coltura rotti) vanno eliminati unitamente ai rifiuti aziendali in appositi imballaggi e nel rispetto delle misure di precauzione per evitare ferite da taglio</w:t>
            </w:r>
          </w:p>
          <w:p w:rsidR="00CD2411" w:rsidRPr="00CD2411" w:rsidRDefault="00CD2411" w:rsidP="00CD2411">
            <w:pPr>
              <w:pStyle w:val="Tabelle"/>
              <w:rPr>
                <w:rFonts w:cs="Arial"/>
                <w:sz w:val="16"/>
                <w:szCs w:val="16"/>
                <w:lang w:val="it-IT"/>
              </w:rPr>
            </w:pPr>
            <w:r w:rsidRPr="00CD2411">
              <w:rPr>
                <w:rFonts w:cs="Arial"/>
                <w:sz w:val="16"/>
                <w:szCs w:val="16"/>
                <w:lang w:val="it-IT"/>
              </w:rPr>
              <w:t>I rifiuti con pericolo di lesione (</w:t>
            </w:r>
            <w:proofErr w:type="spellStart"/>
            <w:r w:rsidRPr="00CD2411">
              <w:rPr>
                <w:rFonts w:cs="Arial"/>
                <w:sz w:val="16"/>
                <w:szCs w:val="16"/>
                <w:lang w:val="it-IT"/>
              </w:rPr>
              <w:t>sharps</w:t>
            </w:r>
            <w:proofErr w:type="spellEnd"/>
            <w:r w:rsidRPr="00CD2411">
              <w:rPr>
                <w:rFonts w:cs="Arial"/>
                <w:sz w:val="16"/>
                <w:szCs w:val="16"/>
                <w:lang w:val="it-IT"/>
              </w:rPr>
              <w:t>) sono eliminati come rifiuti speciali (cfr. punto 2.1)</w:t>
            </w:r>
          </w:p>
          <w:p w:rsidR="00CD2411" w:rsidRPr="00CD2411" w:rsidRDefault="00CD2411" w:rsidP="00CD2411">
            <w:pPr>
              <w:pStyle w:val="Tabelle"/>
              <w:rPr>
                <w:rFonts w:cs="Arial"/>
                <w:sz w:val="16"/>
                <w:szCs w:val="16"/>
                <w:lang w:val="it-IT"/>
              </w:rPr>
            </w:pPr>
            <w:r w:rsidRPr="00CD2411">
              <w:rPr>
                <w:rFonts w:cs="Arial"/>
                <w:sz w:val="16"/>
                <w:szCs w:val="16"/>
                <w:lang w:val="it-IT"/>
              </w:rPr>
              <w:t>I rifiuti senza pericolo di lesione sono eliminati con i rifiuti aziendali</w:t>
            </w:r>
          </w:p>
          <w:p w:rsidR="00144FE2" w:rsidRPr="00CD2411" w:rsidRDefault="00CD2411" w:rsidP="00CD2411">
            <w:pPr>
              <w:pStyle w:val="Tabelle"/>
              <w:spacing w:line="240" w:lineRule="exact"/>
              <w:rPr>
                <w:rFonts w:cs="Arial"/>
                <w:b/>
                <w:sz w:val="16"/>
                <w:szCs w:val="16"/>
                <w:lang w:val="it-CH"/>
              </w:rPr>
            </w:pPr>
            <w:r w:rsidRPr="00CD2411">
              <w:rPr>
                <w:rFonts w:cs="Arial"/>
                <w:sz w:val="16"/>
                <w:szCs w:val="16"/>
                <w:lang w:val="it-IT"/>
              </w:rPr>
              <w:t xml:space="preserve">I rifiuti inattivati sono eliminati con i rifiuti aziendali solo dopo che </w:t>
            </w:r>
            <w:r w:rsidRPr="00CD2411">
              <w:rPr>
                <w:rFonts w:cs="Arial"/>
                <w:b/>
                <w:bCs/>
                <w:sz w:val="16"/>
                <w:szCs w:val="16"/>
                <w:lang w:val="it-IT"/>
              </w:rPr>
              <w:t>l'etichetta di rischio biologico non è più visibile</w:t>
            </w:r>
            <w:r w:rsidRPr="00CD2411">
              <w:rPr>
                <w:rFonts w:cs="Arial"/>
                <w:sz w:val="16"/>
                <w:szCs w:val="16"/>
                <w:lang w:val="it-IT"/>
              </w:rPr>
              <w:t>. A tal fine vengono messi in un imballaggio secondario (sacco o contenitore)</w:t>
            </w:r>
          </w:p>
        </w:tc>
        <w:tc>
          <w:tcPr>
            <w:tcW w:w="948" w:type="pct"/>
          </w:tcPr>
          <w:p w:rsidR="00144FE2" w:rsidRPr="00CD2411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  <w:tc>
          <w:tcPr>
            <w:tcW w:w="216" w:type="pct"/>
          </w:tcPr>
          <w:p w:rsidR="00144FE2" w:rsidRPr="00CD2411" w:rsidRDefault="00144FE2" w:rsidP="00144FE2">
            <w:pPr>
              <w:pStyle w:val="Tabelle"/>
              <w:spacing w:line="240" w:lineRule="exact"/>
              <w:rPr>
                <w:rFonts w:cs="Arial"/>
                <w:sz w:val="16"/>
                <w:szCs w:val="16"/>
                <w:lang w:val="it-CH"/>
              </w:rPr>
            </w:pPr>
          </w:p>
        </w:tc>
      </w:tr>
    </w:tbl>
    <w:p w:rsidR="00423618" w:rsidRPr="00CD2411" w:rsidRDefault="00423618">
      <w:pPr>
        <w:rPr>
          <w:rFonts w:ascii="Arial" w:hAnsi="Arial" w:cs="Arial"/>
          <w:noProof/>
          <w:sz w:val="20"/>
          <w:szCs w:val="20"/>
          <w:lang w:val="it-CH" w:eastAsia="de-CH"/>
        </w:rPr>
      </w:pPr>
      <w:r w:rsidRPr="00CD2411">
        <w:rPr>
          <w:lang w:val="it-CH"/>
        </w:rPr>
        <w:br w:type="page"/>
      </w:r>
    </w:p>
    <w:p w:rsidR="00C76B89" w:rsidRPr="00CD2411" w:rsidRDefault="00C76B89" w:rsidP="00C76B89">
      <w:pPr>
        <w:pStyle w:val="03BAFUUntertitel"/>
        <w:ind w:left="392" w:hanging="392"/>
        <w:rPr>
          <w:noProof/>
          <w:lang w:val="it-CH" w:eastAsia="de-CH"/>
        </w:rPr>
      </w:pPr>
      <w:r w:rsidRPr="00CD2411">
        <w:rPr>
          <w:noProof/>
          <w:lang w:val="it-CH" w:eastAsia="de-CH"/>
        </w:rPr>
        <w:lastRenderedPageBreak/>
        <w:t>2.3</w:t>
      </w:r>
      <w:r w:rsidRPr="00CD2411">
        <w:rPr>
          <w:noProof/>
          <w:lang w:val="it-CH" w:eastAsia="de-CH"/>
        </w:rPr>
        <w:tab/>
      </w:r>
      <w:r w:rsidR="00CD2411" w:rsidRPr="00CD2411">
        <w:rPr>
          <w:bCs/>
          <w:i/>
          <w:iCs/>
          <w:noProof/>
          <w:lang w:val="it-CH" w:eastAsia="de-CH"/>
        </w:rPr>
        <w:t>Piano di smaltimento per i rifiuti liquidi</w:t>
      </w:r>
    </w:p>
    <w:p w:rsidR="00C76B89" w:rsidRPr="00CD2411" w:rsidRDefault="00C76B89" w:rsidP="00C76B89">
      <w:pPr>
        <w:pStyle w:val="03BAFUUntertitel"/>
        <w:ind w:left="392" w:hanging="392"/>
        <w:rPr>
          <w:noProof/>
          <w:lang w:val="it-CH" w:eastAsia="de-CH"/>
        </w:rPr>
      </w:pPr>
    </w:p>
    <w:tbl>
      <w:tblPr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"/>
        <w:gridCol w:w="3771"/>
        <w:gridCol w:w="7395"/>
        <w:gridCol w:w="2239"/>
        <w:gridCol w:w="884"/>
      </w:tblGrid>
      <w:tr w:rsidR="00C76B89" w:rsidRPr="00FD582F" w:rsidTr="00C76B89">
        <w:trPr>
          <w:trHeight w:val="20"/>
        </w:trPr>
        <w:tc>
          <w:tcPr>
            <w:tcW w:w="297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vAlign w:val="center"/>
          </w:tcPr>
          <w:p w:rsidR="00C76B89" w:rsidRPr="00CD2411" w:rsidRDefault="00C76B89" w:rsidP="006E0165">
            <w:pPr>
              <w:spacing w:before="20" w:after="20" w:line="240" w:lineRule="exact"/>
              <w:ind w:left="57" w:right="57"/>
              <w:jc w:val="center"/>
              <w:rPr>
                <w:rFonts w:ascii="Arial" w:hAnsi="Arial"/>
                <w:b/>
                <w:sz w:val="18"/>
                <w:lang w:val="it-CH"/>
              </w:rPr>
            </w:pPr>
          </w:p>
        </w:tc>
        <w:tc>
          <w:tcPr>
            <w:tcW w:w="1241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76B89" w:rsidRPr="00CD2411" w:rsidRDefault="00CD2411" w:rsidP="006E0165">
            <w:pPr>
              <w:spacing w:before="20" w:after="20" w:line="240" w:lineRule="exact"/>
              <w:ind w:left="57" w:right="57"/>
              <w:rPr>
                <w:rFonts w:ascii="Arial" w:hAnsi="Arial"/>
                <w:b/>
                <w:sz w:val="18"/>
                <w:lang w:val="it-CH"/>
              </w:rPr>
            </w:pPr>
            <w:r w:rsidRPr="00CD2411">
              <w:rPr>
                <w:rFonts w:ascii="Arial" w:hAnsi="Arial"/>
                <w:b/>
                <w:bCs/>
                <w:sz w:val="18"/>
                <w:lang w:val="it-CH"/>
              </w:rPr>
              <w:t>Rifiuti liquidi (</w:t>
            </w:r>
            <w:proofErr w:type="spellStart"/>
            <w:r w:rsidRPr="00CD2411">
              <w:rPr>
                <w:rFonts w:ascii="Arial" w:hAnsi="Arial"/>
                <w:b/>
                <w:bCs/>
                <w:sz w:val="18"/>
                <w:lang w:val="it-CH"/>
              </w:rPr>
              <w:t>supernatanti</w:t>
            </w:r>
            <w:proofErr w:type="spellEnd"/>
            <w:r w:rsidRPr="00CD2411">
              <w:rPr>
                <w:rFonts w:ascii="Arial" w:hAnsi="Arial"/>
                <w:b/>
                <w:bCs/>
                <w:sz w:val="18"/>
                <w:lang w:val="it-CH"/>
              </w:rPr>
              <w:t xml:space="preserve"> di colture)</w:t>
            </w:r>
          </w:p>
        </w:tc>
        <w:tc>
          <w:tcPr>
            <w:tcW w:w="2434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76B89" w:rsidRPr="00D87649" w:rsidRDefault="00CD2411" w:rsidP="006E0165">
            <w:pPr>
              <w:spacing w:before="20" w:after="20" w:line="240" w:lineRule="exact"/>
              <w:ind w:left="57" w:right="57"/>
              <w:rPr>
                <w:rFonts w:ascii="Arial" w:hAnsi="Arial"/>
                <w:b/>
                <w:sz w:val="18"/>
              </w:rPr>
            </w:pPr>
            <w:r w:rsidRPr="00CD2411">
              <w:rPr>
                <w:rFonts w:ascii="Arial" w:hAnsi="Arial"/>
                <w:b/>
                <w:bCs/>
                <w:sz w:val="18"/>
                <w:lang w:val="it-CH"/>
              </w:rPr>
              <w:t>Come</w:t>
            </w:r>
          </w:p>
        </w:tc>
        <w:tc>
          <w:tcPr>
            <w:tcW w:w="737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76B89" w:rsidRPr="00D87649" w:rsidRDefault="00CD2411" w:rsidP="006E0165">
            <w:pPr>
              <w:spacing w:before="20" w:after="20" w:line="240" w:lineRule="exact"/>
              <w:ind w:left="57" w:right="57"/>
              <w:rPr>
                <w:rFonts w:ascii="Arial" w:hAnsi="Arial"/>
                <w:b/>
                <w:sz w:val="18"/>
              </w:rPr>
            </w:pPr>
            <w:r w:rsidRPr="00CD2411">
              <w:rPr>
                <w:rFonts w:ascii="Arial" w:hAnsi="Arial"/>
                <w:b/>
                <w:bCs/>
                <w:sz w:val="18"/>
                <w:lang w:val="it-CH"/>
              </w:rPr>
              <w:t>Quanto / periodicità</w:t>
            </w:r>
          </w:p>
        </w:tc>
        <w:tc>
          <w:tcPr>
            <w:tcW w:w="291" w:type="pct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C76B89" w:rsidRPr="00D87649" w:rsidRDefault="00CD2411" w:rsidP="006E0165">
            <w:pPr>
              <w:spacing w:before="20" w:after="20" w:line="240" w:lineRule="exact"/>
              <w:ind w:left="57" w:right="57"/>
              <w:rPr>
                <w:rFonts w:ascii="Arial" w:hAnsi="Arial"/>
                <w:b/>
                <w:sz w:val="18"/>
              </w:rPr>
            </w:pPr>
            <w:r w:rsidRPr="00CD2411">
              <w:rPr>
                <w:rFonts w:ascii="Arial" w:hAnsi="Arial"/>
                <w:b/>
                <w:bCs/>
                <w:sz w:val="18"/>
                <w:lang w:val="it-CH"/>
              </w:rPr>
              <w:t>Chi</w:t>
            </w:r>
          </w:p>
        </w:tc>
      </w:tr>
      <w:tr w:rsidR="00C76B89" w:rsidRPr="00CD2411" w:rsidTr="00C76B89">
        <w:trPr>
          <w:trHeight w:val="20"/>
        </w:trPr>
        <w:tc>
          <w:tcPr>
            <w:tcW w:w="297" w:type="pct"/>
            <w:vMerge w:val="restart"/>
            <w:tcBorders>
              <w:top w:val="nil"/>
            </w:tcBorders>
            <w:shd w:val="clear" w:color="auto" w:fill="D9D9D9" w:themeFill="background1" w:themeFillShade="D9"/>
            <w:textDirection w:val="btLr"/>
            <w:vAlign w:val="center"/>
          </w:tcPr>
          <w:p w:rsidR="00C76B89" w:rsidRPr="00D87649" w:rsidRDefault="00CD2411" w:rsidP="006E0165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de-CH"/>
              </w:rPr>
            </w:pPr>
            <w:r w:rsidRPr="00CD2411">
              <w:rPr>
                <w:b/>
                <w:bCs/>
                <w:lang w:val="it-CH"/>
              </w:rPr>
              <w:t>Descrizione / modalità di raccolta</w:t>
            </w:r>
          </w:p>
        </w:tc>
        <w:tc>
          <w:tcPr>
            <w:tcW w:w="1241" w:type="pct"/>
            <w:tcBorders>
              <w:top w:val="nil"/>
            </w:tcBorders>
            <w:shd w:val="clear" w:color="auto" w:fill="F2F2F2" w:themeFill="background1" w:themeFillShade="F2"/>
          </w:tcPr>
          <w:p w:rsidR="00C76B89" w:rsidRPr="00D87649" w:rsidRDefault="00CD2411" w:rsidP="006E0165">
            <w:pPr>
              <w:pStyle w:val="Tabelle"/>
              <w:spacing w:line="240" w:lineRule="exact"/>
              <w:rPr>
                <w:lang w:val="de-CH"/>
              </w:rPr>
            </w:pPr>
            <w:r w:rsidRPr="00CD2411">
              <w:rPr>
                <w:lang w:val="it-CH"/>
              </w:rPr>
              <w:t>Principi della raccolta differenziata</w:t>
            </w:r>
          </w:p>
        </w:tc>
        <w:tc>
          <w:tcPr>
            <w:tcW w:w="2434" w:type="pct"/>
            <w:tcBorders>
              <w:top w:val="nil"/>
            </w:tcBorders>
            <w:shd w:val="clear" w:color="auto" w:fill="F2F2F2" w:themeFill="background1" w:themeFillShade="F2"/>
          </w:tcPr>
          <w:p w:rsidR="00C76B89" w:rsidRPr="00CD2411" w:rsidRDefault="00CD2411" w:rsidP="006E0165">
            <w:pPr>
              <w:pStyle w:val="Tabelle"/>
              <w:spacing w:line="240" w:lineRule="exact"/>
              <w:rPr>
                <w:lang w:val="it-CH"/>
              </w:rPr>
            </w:pPr>
            <w:r w:rsidRPr="00CD2411">
              <w:rPr>
                <w:lang w:val="it-CH"/>
              </w:rPr>
              <w:t xml:space="preserve">Raccogliere separatamente i mezzi di </w:t>
            </w:r>
            <w:proofErr w:type="gramStart"/>
            <w:r w:rsidRPr="00CD2411">
              <w:rPr>
                <w:lang w:val="it-CH"/>
              </w:rPr>
              <w:t>coltura  e</w:t>
            </w:r>
            <w:proofErr w:type="gramEnd"/>
            <w:r w:rsidRPr="00CD2411">
              <w:rPr>
                <w:lang w:val="it-CH"/>
              </w:rPr>
              <w:t xml:space="preserve"> le soluzioni per perfusione</w:t>
            </w:r>
          </w:p>
        </w:tc>
        <w:tc>
          <w:tcPr>
            <w:tcW w:w="737" w:type="pct"/>
            <w:tcBorders>
              <w:top w:val="nil"/>
            </w:tcBorders>
            <w:shd w:val="clear" w:color="auto" w:fill="F2F2F2" w:themeFill="background1" w:themeFillShade="F2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  <w:tc>
          <w:tcPr>
            <w:tcW w:w="291" w:type="pct"/>
            <w:tcBorders>
              <w:top w:val="nil"/>
            </w:tcBorders>
            <w:shd w:val="clear" w:color="auto" w:fill="F2F2F2" w:themeFill="background1" w:themeFillShade="F2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</w:tr>
      <w:tr w:rsidR="00C76B89" w:rsidRPr="00CD2411" w:rsidTr="00C76B89">
        <w:trPr>
          <w:trHeight w:val="20"/>
        </w:trPr>
        <w:tc>
          <w:tcPr>
            <w:tcW w:w="297" w:type="pct"/>
            <w:vMerge/>
            <w:shd w:val="clear" w:color="auto" w:fill="D9D9D9" w:themeFill="background1" w:themeFillShade="D9"/>
            <w:textDirection w:val="btLr"/>
            <w:vAlign w:val="center"/>
          </w:tcPr>
          <w:p w:rsidR="00C76B89" w:rsidRPr="00CD2411" w:rsidRDefault="00C76B89" w:rsidP="006E0165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it-CH"/>
              </w:rPr>
            </w:pPr>
          </w:p>
        </w:tc>
        <w:tc>
          <w:tcPr>
            <w:tcW w:w="1241" w:type="pct"/>
            <w:shd w:val="clear" w:color="auto" w:fill="F2F2F2" w:themeFill="background1" w:themeFillShade="F2"/>
          </w:tcPr>
          <w:p w:rsidR="00C76B89" w:rsidRPr="00D87649" w:rsidRDefault="00CD2411" w:rsidP="006E0165">
            <w:pPr>
              <w:pStyle w:val="Tabelle"/>
              <w:spacing w:line="240" w:lineRule="exact"/>
              <w:rPr>
                <w:lang w:val="de-CH"/>
              </w:rPr>
            </w:pPr>
            <w:r w:rsidRPr="00CD2411">
              <w:rPr>
                <w:lang w:val="it-CH"/>
              </w:rPr>
              <w:t>Tipo di contenitore</w:t>
            </w:r>
          </w:p>
        </w:tc>
        <w:tc>
          <w:tcPr>
            <w:tcW w:w="2434" w:type="pct"/>
            <w:shd w:val="clear" w:color="auto" w:fill="F2F2F2" w:themeFill="background1" w:themeFillShade="F2"/>
          </w:tcPr>
          <w:p w:rsidR="00C76B89" w:rsidRPr="00CD2411" w:rsidRDefault="00CD2411" w:rsidP="006E0165">
            <w:pPr>
              <w:pStyle w:val="Tabelle"/>
              <w:spacing w:line="240" w:lineRule="exact"/>
              <w:rPr>
                <w:lang w:val="it-CH"/>
              </w:rPr>
            </w:pPr>
            <w:r w:rsidRPr="00CD2411">
              <w:rPr>
                <w:lang w:val="it-CH"/>
              </w:rPr>
              <w:t xml:space="preserve">Per la raccolta dei mezzi di coltura usare bottiglie di aspirazione (ad es. </w:t>
            </w:r>
            <w:smartTag w:uri="urn:schemas-microsoft-com:office:smarttags" w:element="metricconverter">
              <w:smartTagPr>
                <w:attr w:name="ProductID" w:val="2 l"/>
              </w:smartTagPr>
              <w:r w:rsidRPr="00CD2411">
                <w:rPr>
                  <w:lang w:val="it-CH"/>
                </w:rPr>
                <w:t>2 l</w:t>
              </w:r>
            </w:smartTag>
            <w:r w:rsidRPr="00CD2411">
              <w:rPr>
                <w:lang w:val="it-CH"/>
              </w:rPr>
              <w:t xml:space="preserve">), per le soluzioni per perfusione usare taniche di plastica (ad es. </w:t>
            </w:r>
            <w:smartTag w:uri="urn:schemas-microsoft-com:office:smarttags" w:element="metricconverter">
              <w:smartTagPr>
                <w:attr w:name="ProductID" w:val="10 l"/>
              </w:smartTagPr>
              <w:r w:rsidRPr="00CD2411">
                <w:rPr>
                  <w:lang w:val="it-CH"/>
                </w:rPr>
                <w:t>10 l</w:t>
              </w:r>
            </w:smartTag>
            <w:r w:rsidRPr="00CD2411">
              <w:rPr>
                <w:lang w:val="it-CH"/>
              </w:rPr>
              <w:t>).</w:t>
            </w:r>
            <w:r w:rsidRPr="00CD2411">
              <w:rPr>
                <w:lang w:val="it-IT"/>
              </w:rPr>
              <w:t xml:space="preserve"> </w:t>
            </w:r>
            <w:r w:rsidRPr="00CD2411">
              <w:rPr>
                <w:lang w:val="it-CH"/>
              </w:rPr>
              <w:t xml:space="preserve">Dopo la centrifugazione raccogliere i </w:t>
            </w:r>
            <w:proofErr w:type="spellStart"/>
            <w:r w:rsidRPr="00CD2411">
              <w:rPr>
                <w:lang w:val="it-CH"/>
              </w:rPr>
              <w:t>supernatanti</w:t>
            </w:r>
            <w:proofErr w:type="spellEnd"/>
            <w:r w:rsidRPr="00CD2411">
              <w:rPr>
                <w:lang w:val="it-CH"/>
              </w:rPr>
              <w:t xml:space="preserve"> di coltura (ad es. bottiglie da </w:t>
            </w:r>
            <w:smartTag w:uri="urn:schemas-microsoft-com:office:smarttags" w:element="metricconverter">
              <w:smartTagPr>
                <w:attr w:name="ProductID" w:val="1 l"/>
              </w:smartTagPr>
              <w:r w:rsidRPr="00CD2411">
                <w:rPr>
                  <w:lang w:val="it-CH"/>
                </w:rPr>
                <w:t>1 l</w:t>
              </w:r>
            </w:smartTag>
            <w:r w:rsidRPr="00CD2411">
              <w:rPr>
                <w:lang w:val="it-CH"/>
              </w:rPr>
              <w:t>)</w:t>
            </w:r>
          </w:p>
        </w:tc>
        <w:tc>
          <w:tcPr>
            <w:tcW w:w="737" w:type="pct"/>
            <w:shd w:val="clear" w:color="auto" w:fill="F2F2F2" w:themeFill="background1" w:themeFillShade="F2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  <w:tc>
          <w:tcPr>
            <w:tcW w:w="291" w:type="pct"/>
            <w:shd w:val="clear" w:color="auto" w:fill="F2F2F2" w:themeFill="background1" w:themeFillShade="F2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</w:tr>
      <w:tr w:rsidR="00C76B89" w:rsidRPr="00CD2411" w:rsidTr="00C76B89">
        <w:trPr>
          <w:trHeight w:val="946"/>
        </w:trPr>
        <w:tc>
          <w:tcPr>
            <w:tcW w:w="297" w:type="pct"/>
            <w:textDirection w:val="btLr"/>
            <w:vAlign w:val="center"/>
          </w:tcPr>
          <w:p w:rsidR="00C76B89" w:rsidRPr="00D87649" w:rsidRDefault="00CD2411" w:rsidP="006E0165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de-CH"/>
              </w:rPr>
            </w:pPr>
            <w:r w:rsidRPr="00CD2411">
              <w:rPr>
                <w:b/>
                <w:bCs/>
                <w:lang w:val="it-CH"/>
              </w:rPr>
              <w:t>Etichettatura</w:t>
            </w:r>
          </w:p>
        </w:tc>
        <w:tc>
          <w:tcPr>
            <w:tcW w:w="1241" w:type="pct"/>
          </w:tcPr>
          <w:p w:rsidR="00C76B89" w:rsidRPr="00D87649" w:rsidRDefault="00CD2411" w:rsidP="006E0165">
            <w:pPr>
              <w:pStyle w:val="Tabelle"/>
              <w:spacing w:line="240" w:lineRule="exact"/>
              <w:rPr>
                <w:lang w:val="de-CH"/>
              </w:rPr>
            </w:pPr>
            <w:r w:rsidRPr="00CD2411">
              <w:rPr>
                <w:lang w:val="it-CH"/>
              </w:rPr>
              <w:t>Etichettatura</w:t>
            </w:r>
          </w:p>
        </w:tc>
        <w:tc>
          <w:tcPr>
            <w:tcW w:w="2434" w:type="pct"/>
          </w:tcPr>
          <w:p w:rsidR="00C76B89" w:rsidRPr="00CD2411" w:rsidRDefault="00CD2411" w:rsidP="006E0165">
            <w:pPr>
              <w:pStyle w:val="Tabelle"/>
              <w:spacing w:line="240" w:lineRule="exact"/>
              <w:rPr>
                <w:lang w:val="it-CH"/>
              </w:rPr>
            </w:pPr>
            <w:r w:rsidRPr="00CD2411">
              <w:rPr>
                <w:lang w:val="it-IT"/>
              </w:rPr>
              <w:t>Prima dell’inattivazione applicare un indicatore termosensibile sulle bottiglie contenenti mezzi di coltura</w:t>
            </w:r>
          </w:p>
        </w:tc>
        <w:tc>
          <w:tcPr>
            <w:tcW w:w="737" w:type="pct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  <w:tc>
          <w:tcPr>
            <w:tcW w:w="291" w:type="pct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</w:tr>
      <w:tr w:rsidR="00C76B89" w:rsidRPr="00CD2411" w:rsidTr="00C76B89">
        <w:trPr>
          <w:trHeight w:val="689"/>
        </w:trPr>
        <w:tc>
          <w:tcPr>
            <w:tcW w:w="297" w:type="pct"/>
            <w:shd w:val="clear" w:color="auto" w:fill="D9D9D9" w:themeFill="background1" w:themeFillShade="D9"/>
            <w:textDirection w:val="btLr"/>
            <w:vAlign w:val="center"/>
          </w:tcPr>
          <w:p w:rsidR="00C76B89" w:rsidRPr="00D87649" w:rsidRDefault="00CD2411" w:rsidP="006E0165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de-CH"/>
              </w:rPr>
            </w:pPr>
            <w:r w:rsidRPr="00CD2411">
              <w:rPr>
                <w:b/>
                <w:bCs/>
                <w:lang w:val="it-CH"/>
              </w:rPr>
              <w:t>Deposito</w:t>
            </w:r>
          </w:p>
        </w:tc>
        <w:tc>
          <w:tcPr>
            <w:tcW w:w="1241" w:type="pct"/>
            <w:shd w:val="clear" w:color="auto" w:fill="F2F2F2" w:themeFill="background1" w:themeFillShade="F2"/>
          </w:tcPr>
          <w:p w:rsidR="00C76B89" w:rsidRPr="00D87649" w:rsidRDefault="00CD2411" w:rsidP="006E0165">
            <w:pPr>
              <w:pStyle w:val="Tabelle"/>
              <w:spacing w:line="240" w:lineRule="exact"/>
              <w:rPr>
                <w:lang w:val="de-CH"/>
              </w:rPr>
            </w:pPr>
            <w:r w:rsidRPr="00CD2411">
              <w:rPr>
                <w:lang w:val="it-CH"/>
              </w:rPr>
              <w:t>Deposito intermedio nel laboratorio</w:t>
            </w:r>
          </w:p>
        </w:tc>
        <w:tc>
          <w:tcPr>
            <w:tcW w:w="2434" w:type="pct"/>
            <w:shd w:val="clear" w:color="auto" w:fill="F2F2F2" w:themeFill="background1" w:themeFillShade="F2"/>
          </w:tcPr>
          <w:p w:rsidR="00C76B89" w:rsidRPr="00CD2411" w:rsidRDefault="00CD2411" w:rsidP="006E0165">
            <w:pPr>
              <w:pStyle w:val="Tabelle"/>
              <w:spacing w:line="240" w:lineRule="exact"/>
              <w:rPr>
                <w:lang w:val="it-CH"/>
              </w:rPr>
            </w:pPr>
            <w:r w:rsidRPr="00CD2411">
              <w:rPr>
                <w:lang w:val="it-CH"/>
              </w:rPr>
              <w:t xml:space="preserve">Depositare temporaneamente e in condizioni di sicurezza i mezzi di coltura e le soluzioni per perfusione nel laboratorio fino allo smaltimento definitivo </w:t>
            </w:r>
            <w:r w:rsidRPr="00CD2411">
              <w:rPr>
                <w:lang w:val="it-IT"/>
              </w:rPr>
              <w:t xml:space="preserve"> </w:t>
            </w:r>
          </w:p>
        </w:tc>
        <w:tc>
          <w:tcPr>
            <w:tcW w:w="737" w:type="pct"/>
            <w:shd w:val="clear" w:color="auto" w:fill="F2F2F2" w:themeFill="background1" w:themeFillShade="F2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  <w:tc>
          <w:tcPr>
            <w:tcW w:w="291" w:type="pct"/>
            <w:shd w:val="clear" w:color="auto" w:fill="F2F2F2" w:themeFill="background1" w:themeFillShade="F2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</w:tr>
      <w:tr w:rsidR="00C76B89" w:rsidRPr="00CD2411" w:rsidTr="00C76B89">
        <w:trPr>
          <w:trHeight w:val="1028"/>
        </w:trPr>
        <w:tc>
          <w:tcPr>
            <w:tcW w:w="297" w:type="pct"/>
            <w:textDirection w:val="btLr"/>
            <w:vAlign w:val="center"/>
          </w:tcPr>
          <w:p w:rsidR="00C76B89" w:rsidRPr="00D87649" w:rsidRDefault="00CD2411" w:rsidP="006E0165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de-CH"/>
              </w:rPr>
            </w:pPr>
            <w:r w:rsidRPr="00CD2411">
              <w:rPr>
                <w:b/>
                <w:bCs/>
                <w:lang w:val="it-CH"/>
              </w:rPr>
              <w:t>Inattivazione</w:t>
            </w:r>
          </w:p>
        </w:tc>
        <w:tc>
          <w:tcPr>
            <w:tcW w:w="1241" w:type="pct"/>
          </w:tcPr>
          <w:p w:rsidR="00C76B89" w:rsidRPr="00CD2411" w:rsidRDefault="00CD2411" w:rsidP="006E0165">
            <w:pPr>
              <w:pStyle w:val="Tabelle"/>
              <w:spacing w:line="240" w:lineRule="exact"/>
              <w:rPr>
                <w:lang w:val="it-CH"/>
              </w:rPr>
            </w:pPr>
            <w:r w:rsidRPr="00CD2411">
              <w:rPr>
                <w:lang w:val="it-CH"/>
              </w:rPr>
              <w:t>Inattivazione chimica sul posto (laboratorio)</w:t>
            </w:r>
          </w:p>
        </w:tc>
        <w:tc>
          <w:tcPr>
            <w:tcW w:w="2434" w:type="pct"/>
          </w:tcPr>
          <w:p w:rsidR="00C76B89" w:rsidRPr="00CD2411" w:rsidRDefault="00CD2411" w:rsidP="006E0165">
            <w:pPr>
              <w:pStyle w:val="Tabelle"/>
              <w:spacing w:line="240" w:lineRule="exact"/>
              <w:rPr>
                <w:lang w:val="it-CH"/>
              </w:rPr>
            </w:pPr>
            <w:r w:rsidRPr="00CD2411">
              <w:rPr>
                <w:lang w:val="it-CH"/>
              </w:rPr>
              <w:t>Inattivare localmente le colture cellulari con disinfettanti adatti (bottiglie di aspirazione)</w:t>
            </w:r>
          </w:p>
        </w:tc>
        <w:tc>
          <w:tcPr>
            <w:tcW w:w="737" w:type="pct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  <w:tc>
          <w:tcPr>
            <w:tcW w:w="291" w:type="pct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</w:tr>
      <w:tr w:rsidR="00C76B89" w:rsidRPr="00CD2411" w:rsidTr="00C76B89">
        <w:trPr>
          <w:trHeight w:val="683"/>
        </w:trPr>
        <w:tc>
          <w:tcPr>
            <w:tcW w:w="297" w:type="pct"/>
            <w:shd w:val="clear" w:color="auto" w:fill="D9D9D9" w:themeFill="background1" w:themeFillShade="D9"/>
            <w:textDirection w:val="btLr"/>
            <w:vAlign w:val="center"/>
          </w:tcPr>
          <w:p w:rsidR="00C76B89" w:rsidRPr="00D87649" w:rsidRDefault="00CD2411" w:rsidP="006E0165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de-CH"/>
              </w:rPr>
            </w:pPr>
            <w:r w:rsidRPr="00CD2411">
              <w:rPr>
                <w:b/>
                <w:bCs/>
                <w:lang w:val="it-CH"/>
              </w:rPr>
              <w:t>Trasporto</w:t>
            </w:r>
          </w:p>
        </w:tc>
        <w:tc>
          <w:tcPr>
            <w:tcW w:w="1241" w:type="pct"/>
            <w:shd w:val="clear" w:color="auto" w:fill="F2F2F2" w:themeFill="background1" w:themeFillShade="F2"/>
          </w:tcPr>
          <w:p w:rsidR="00C76B89" w:rsidRPr="00CD2411" w:rsidRDefault="00CD2411" w:rsidP="006E0165">
            <w:pPr>
              <w:pStyle w:val="Tabelle"/>
              <w:spacing w:line="240" w:lineRule="exact"/>
              <w:rPr>
                <w:lang w:val="it-CH"/>
              </w:rPr>
            </w:pPr>
            <w:r w:rsidRPr="00CD2411">
              <w:rPr>
                <w:lang w:val="it-CH"/>
              </w:rPr>
              <w:t>Trasporto al sito di trattamento</w:t>
            </w:r>
          </w:p>
        </w:tc>
        <w:tc>
          <w:tcPr>
            <w:tcW w:w="2434" w:type="pct"/>
            <w:shd w:val="clear" w:color="auto" w:fill="F2F2F2" w:themeFill="background1" w:themeFillShade="F2"/>
          </w:tcPr>
          <w:p w:rsidR="00C76B89" w:rsidRPr="00CD2411" w:rsidRDefault="00CD2411" w:rsidP="006E0165">
            <w:pPr>
              <w:pStyle w:val="Tabelle"/>
              <w:spacing w:line="240" w:lineRule="exact"/>
              <w:rPr>
                <w:lang w:val="it-CH"/>
              </w:rPr>
            </w:pPr>
            <w:r w:rsidRPr="00CD2411">
              <w:rPr>
                <w:lang w:val="it-CH"/>
              </w:rPr>
              <w:t xml:space="preserve">Portare i rifiuti all’autoclave lungo il percorso più breve e inattivare </w:t>
            </w:r>
            <w:r w:rsidRPr="00CD2411">
              <w:rPr>
                <w:b/>
                <w:bCs/>
                <w:lang w:val="it-CH"/>
              </w:rPr>
              <w:t>tempestivamente</w:t>
            </w:r>
            <w:r w:rsidRPr="00CD2411">
              <w:rPr>
                <w:lang w:val="it-CH"/>
              </w:rPr>
              <w:t xml:space="preserve"> il materiale senza ulteriore deposito intermedio</w:t>
            </w:r>
          </w:p>
        </w:tc>
        <w:tc>
          <w:tcPr>
            <w:tcW w:w="737" w:type="pct"/>
            <w:shd w:val="clear" w:color="auto" w:fill="F2F2F2" w:themeFill="background1" w:themeFillShade="F2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  <w:tc>
          <w:tcPr>
            <w:tcW w:w="291" w:type="pct"/>
            <w:shd w:val="clear" w:color="auto" w:fill="F2F2F2" w:themeFill="background1" w:themeFillShade="F2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</w:tr>
      <w:tr w:rsidR="00C76B89" w:rsidRPr="00CD2411" w:rsidTr="00C76B89">
        <w:trPr>
          <w:trHeight w:val="20"/>
        </w:trPr>
        <w:tc>
          <w:tcPr>
            <w:tcW w:w="297" w:type="pct"/>
            <w:vMerge w:val="restart"/>
            <w:textDirection w:val="btLr"/>
            <w:vAlign w:val="center"/>
          </w:tcPr>
          <w:p w:rsidR="00C76B89" w:rsidRPr="00D87649" w:rsidRDefault="00CD2411" w:rsidP="006E0165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de-CH"/>
              </w:rPr>
            </w:pPr>
            <w:r w:rsidRPr="00CD2411">
              <w:rPr>
                <w:b/>
                <w:bCs/>
                <w:lang w:val="it-CH"/>
              </w:rPr>
              <w:t>Inattivazione</w:t>
            </w:r>
          </w:p>
        </w:tc>
        <w:tc>
          <w:tcPr>
            <w:tcW w:w="1241" w:type="pct"/>
          </w:tcPr>
          <w:p w:rsidR="00C76B89" w:rsidRPr="00D87649" w:rsidRDefault="00CD2411" w:rsidP="006E0165">
            <w:pPr>
              <w:pStyle w:val="Tabelle"/>
              <w:spacing w:line="240" w:lineRule="exact"/>
              <w:rPr>
                <w:lang w:val="de-CH"/>
              </w:rPr>
            </w:pPr>
            <w:proofErr w:type="spellStart"/>
            <w:r w:rsidRPr="00CD2411">
              <w:rPr>
                <w:lang w:val="de-CH"/>
              </w:rPr>
              <w:t>Caricamento</w:t>
            </w:r>
            <w:proofErr w:type="spellEnd"/>
            <w:r w:rsidRPr="00CD2411">
              <w:rPr>
                <w:lang w:val="de-CH"/>
              </w:rPr>
              <w:t xml:space="preserve"> </w:t>
            </w:r>
            <w:proofErr w:type="spellStart"/>
            <w:r w:rsidRPr="00CD2411">
              <w:rPr>
                <w:lang w:val="de-CH"/>
              </w:rPr>
              <w:t>dell’autoclave</w:t>
            </w:r>
            <w:proofErr w:type="spellEnd"/>
          </w:p>
        </w:tc>
        <w:tc>
          <w:tcPr>
            <w:tcW w:w="2434" w:type="pct"/>
          </w:tcPr>
          <w:p w:rsidR="00C76B89" w:rsidRPr="00CD2411" w:rsidRDefault="00CD2411" w:rsidP="006E0165">
            <w:pPr>
              <w:pStyle w:val="Tabelle"/>
              <w:spacing w:line="240" w:lineRule="exact"/>
              <w:rPr>
                <w:lang w:val="it-CH"/>
              </w:rPr>
            </w:pPr>
            <w:r w:rsidRPr="00CD2411">
              <w:rPr>
                <w:lang w:val="it-IT"/>
              </w:rPr>
              <w:t>L’autoclave dev’essere caricata e attivata da personale qualificato (programma speciale per rifiuti liquidi)</w:t>
            </w:r>
          </w:p>
        </w:tc>
        <w:tc>
          <w:tcPr>
            <w:tcW w:w="737" w:type="pct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  <w:tc>
          <w:tcPr>
            <w:tcW w:w="291" w:type="pct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</w:tr>
      <w:tr w:rsidR="00C76B89" w:rsidRPr="00CD2411" w:rsidTr="00C76B89">
        <w:trPr>
          <w:trHeight w:val="20"/>
        </w:trPr>
        <w:tc>
          <w:tcPr>
            <w:tcW w:w="297" w:type="pct"/>
            <w:vMerge/>
            <w:textDirection w:val="btLr"/>
            <w:vAlign w:val="center"/>
          </w:tcPr>
          <w:p w:rsidR="00C76B89" w:rsidRPr="00CD2411" w:rsidRDefault="00C76B89" w:rsidP="006E0165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it-CH"/>
              </w:rPr>
            </w:pPr>
          </w:p>
        </w:tc>
        <w:tc>
          <w:tcPr>
            <w:tcW w:w="1241" w:type="pct"/>
          </w:tcPr>
          <w:p w:rsidR="00C76B89" w:rsidRPr="00D87649" w:rsidRDefault="00CD2411" w:rsidP="006E0165">
            <w:pPr>
              <w:pStyle w:val="Tabelle"/>
              <w:spacing w:line="240" w:lineRule="exact"/>
              <w:rPr>
                <w:lang w:val="de-CH"/>
              </w:rPr>
            </w:pPr>
            <w:r w:rsidRPr="00CD2411">
              <w:rPr>
                <w:lang w:val="it-CH"/>
              </w:rPr>
              <w:t>Controllo dell’inattivazione</w:t>
            </w:r>
          </w:p>
        </w:tc>
        <w:tc>
          <w:tcPr>
            <w:tcW w:w="2434" w:type="pct"/>
          </w:tcPr>
          <w:p w:rsidR="00C76B89" w:rsidRPr="00CD2411" w:rsidRDefault="00CD2411" w:rsidP="006E0165">
            <w:pPr>
              <w:pStyle w:val="Tabelle"/>
              <w:spacing w:line="240" w:lineRule="exact"/>
              <w:rPr>
                <w:lang w:val="it-CH"/>
              </w:rPr>
            </w:pPr>
            <w:r w:rsidRPr="00CD2411">
              <w:rPr>
                <w:lang w:val="it-CH"/>
              </w:rPr>
              <w:t xml:space="preserve">Raccogliere e archiviare i protocollo di </w:t>
            </w:r>
            <w:proofErr w:type="spellStart"/>
            <w:r w:rsidRPr="00CD2411">
              <w:rPr>
                <w:lang w:val="it-CH"/>
              </w:rPr>
              <w:t>autoclavaggio</w:t>
            </w:r>
            <w:proofErr w:type="spellEnd"/>
          </w:p>
        </w:tc>
        <w:tc>
          <w:tcPr>
            <w:tcW w:w="737" w:type="pct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  <w:tc>
          <w:tcPr>
            <w:tcW w:w="291" w:type="pct"/>
          </w:tcPr>
          <w:p w:rsidR="00C76B89" w:rsidRPr="00CD2411" w:rsidRDefault="00C76B89" w:rsidP="006E0165">
            <w:pPr>
              <w:pStyle w:val="Tabelle"/>
              <w:spacing w:line="240" w:lineRule="exact"/>
              <w:rPr>
                <w:lang w:val="it-CH"/>
              </w:rPr>
            </w:pPr>
          </w:p>
        </w:tc>
      </w:tr>
      <w:tr w:rsidR="00C76B89" w:rsidRPr="00FD582F" w:rsidTr="00C76B89">
        <w:trPr>
          <w:trHeight w:val="20"/>
        </w:trPr>
        <w:tc>
          <w:tcPr>
            <w:tcW w:w="297" w:type="pct"/>
            <w:vMerge/>
            <w:textDirection w:val="btLr"/>
            <w:vAlign w:val="center"/>
          </w:tcPr>
          <w:p w:rsidR="00C76B89" w:rsidRPr="00CD2411" w:rsidRDefault="00C76B89" w:rsidP="006E0165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it-CH"/>
              </w:rPr>
            </w:pPr>
          </w:p>
        </w:tc>
        <w:tc>
          <w:tcPr>
            <w:tcW w:w="1241" w:type="pct"/>
          </w:tcPr>
          <w:p w:rsidR="00C76B89" w:rsidRPr="00D87649" w:rsidRDefault="00CD2411" w:rsidP="006E0165">
            <w:pPr>
              <w:pStyle w:val="Tabelle"/>
              <w:spacing w:line="240" w:lineRule="exact"/>
              <w:rPr>
                <w:lang w:val="de-CH"/>
              </w:rPr>
            </w:pPr>
            <w:r w:rsidRPr="00CD2411">
              <w:rPr>
                <w:lang w:val="it-CH"/>
              </w:rPr>
              <w:t>Manutenzione dell’autoclave</w:t>
            </w:r>
          </w:p>
        </w:tc>
        <w:tc>
          <w:tcPr>
            <w:tcW w:w="2434" w:type="pct"/>
          </w:tcPr>
          <w:p w:rsidR="00C76B89" w:rsidRPr="00CD2411" w:rsidRDefault="00CD2411" w:rsidP="006E0165">
            <w:pPr>
              <w:pStyle w:val="Tabelle"/>
              <w:spacing w:line="240" w:lineRule="exact"/>
              <w:rPr>
                <w:lang w:val="it-CH"/>
              </w:rPr>
            </w:pPr>
            <w:r w:rsidRPr="00CD2411">
              <w:rPr>
                <w:lang w:val="it-CH"/>
              </w:rPr>
              <w:t>Sottoporre l’autoclave a interventi manutentivi conformemente al piano di manutenzione</w:t>
            </w:r>
          </w:p>
        </w:tc>
        <w:tc>
          <w:tcPr>
            <w:tcW w:w="737" w:type="pct"/>
          </w:tcPr>
          <w:p w:rsidR="00C76B89" w:rsidRPr="00D87649" w:rsidRDefault="00CD2411" w:rsidP="006E0165">
            <w:pPr>
              <w:pStyle w:val="Tabelle"/>
              <w:spacing w:line="240" w:lineRule="exact"/>
              <w:rPr>
                <w:lang w:val="de-CH"/>
              </w:rPr>
            </w:pPr>
            <w:proofErr w:type="spellStart"/>
            <w:r w:rsidRPr="00CD2411">
              <w:rPr>
                <w:lang w:val="de-CH"/>
              </w:rPr>
              <w:t>Almeno</w:t>
            </w:r>
            <w:proofErr w:type="spellEnd"/>
            <w:r w:rsidRPr="00CD2411">
              <w:rPr>
                <w:lang w:val="de-CH"/>
              </w:rPr>
              <w:t xml:space="preserve"> 1 </w:t>
            </w:r>
            <w:proofErr w:type="spellStart"/>
            <w:r w:rsidRPr="00CD2411">
              <w:rPr>
                <w:lang w:val="de-CH"/>
              </w:rPr>
              <w:t>volta</w:t>
            </w:r>
            <w:proofErr w:type="spellEnd"/>
            <w:r w:rsidRPr="00CD2411">
              <w:rPr>
                <w:lang w:val="de-CH"/>
              </w:rPr>
              <w:t xml:space="preserve"> </w:t>
            </w:r>
            <w:proofErr w:type="spellStart"/>
            <w:r w:rsidRPr="00CD2411">
              <w:rPr>
                <w:lang w:val="de-CH"/>
              </w:rPr>
              <w:t>all’anno</w:t>
            </w:r>
            <w:proofErr w:type="spellEnd"/>
          </w:p>
        </w:tc>
        <w:tc>
          <w:tcPr>
            <w:tcW w:w="291" w:type="pct"/>
          </w:tcPr>
          <w:p w:rsidR="00C76B89" w:rsidRPr="00D87649" w:rsidRDefault="00C76B89" w:rsidP="006E0165">
            <w:pPr>
              <w:pStyle w:val="Tabelle"/>
              <w:spacing w:line="240" w:lineRule="exact"/>
              <w:rPr>
                <w:lang w:val="de-CH"/>
              </w:rPr>
            </w:pPr>
          </w:p>
        </w:tc>
      </w:tr>
      <w:tr w:rsidR="00C76B89" w:rsidRPr="00FD582F" w:rsidTr="00C76B89">
        <w:trPr>
          <w:trHeight w:val="909"/>
        </w:trPr>
        <w:tc>
          <w:tcPr>
            <w:tcW w:w="297" w:type="pct"/>
            <w:shd w:val="clear" w:color="auto" w:fill="D9D9D9" w:themeFill="background1" w:themeFillShade="D9"/>
            <w:textDirection w:val="btLr"/>
            <w:vAlign w:val="center"/>
          </w:tcPr>
          <w:p w:rsidR="00C76B89" w:rsidRPr="00D87649" w:rsidRDefault="00CD2411" w:rsidP="006E0165">
            <w:pPr>
              <w:pStyle w:val="Tabelle"/>
              <w:spacing w:before="0" w:after="0" w:line="200" w:lineRule="exact"/>
              <w:ind w:left="0" w:right="0"/>
              <w:jc w:val="center"/>
              <w:rPr>
                <w:b/>
                <w:lang w:val="de-CH"/>
              </w:rPr>
            </w:pPr>
            <w:r w:rsidRPr="00CD2411">
              <w:rPr>
                <w:b/>
                <w:bCs/>
                <w:lang w:val="it-CH"/>
              </w:rPr>
              <w:t>Smaltimento</w:t>
            </w:r>
          </w:p>
        </w:tc>
        <w:tc>
          <w:tcPr>
            <w:tcW w:w="1241" w:type="pct"/>
            <w:shd w:val="clear" w:color="auto" w:fill="F2F2F2" w:themeFill="background1" w:themeFillShade="F2"/>
          </w:tcPr>
          <w:p w:rsidR="00C76B89" w:rsidRPr="00D87649" w:rsidRDefault="00CD2411" w:rsidP="006E0165">
            <w:pPr>
              <w:pStyle w:val="Tabelle"/>
              <w:spacing w:line="240" w:lineRule="exact"/>
              <w:rPr>
                <w:lang w:val="de-CH"/>
              </w:rPr>
            </w:pPr>
            <w:r w:rsidRPr="00CD2411">
              <w:rPr>
                <w:lang w:val="it-CH"/>
              </w:rPr>
              <w:t>Smaltimento dei rifiuti inattivati</w:t>
            </w:r>
          </w:p>
        </w:tc>
        <w:tc>
          <w:tcPr>
            <w:tcW w:w="2434" w:type="pct"/>
            <w:shd w:val="clear" w:color="auto" w:fill="F2F2F2" w:themeFill="background1" w:themeFillShade="F2"/>
          </w:tcPr>
          <w:p w:rsidR="00C76B89" w:rsidRPr="00CD2411" w:rsidRDefault="00CD2411" w:rsidP="006E0165">
            <w:pPr>
              <w:pStyle w:val="Tabelle"/>
              <w:spacing w:line="240" w:lineRule="exact"/>
              <w:rPr>
                <w:lang w:val="it-CH"/>
              </w:rPr>
            </w:pPr>
            <w:r w:rsidRPr="00CD2411">
              <w:rPr>
                <w:lang w:val="it-IT"/>
              </w:rPr>
              <w:t>Eliminare i rifiuti liquidi inattivati negli scarichi idrici, rispettando la legislazione sulla protezione delle acque</w:t>
            </w:r>
          </w:p>
        </w:tc>
        <w:tc>
          <w:tcPr>
            <w:tcW w:w="737" w:type="pct"/>
            <w:shd w:val="clear" w:color="auto" w:fill="F2F2F2" w:themeFill="background1" w:themeFillShade="F2"/>
          </w:tcPr>
          <w:p w:rsidR="00C76B89" w:rsidRPr="00D87649" w:rsidRDefault="00CD2411" w:rsidP="006E0165">
            <w:pPr>
              <w:pStyle w:val="Tabelle"/>
              <w:spacing w:line="240" w:lineRule="exact"/>
              <w:rPr>
                <w:lang w:val="de-CH"/>
              </w:rPr>
            </w:pPr>
            <w:r w:rsidRPr="00CD2411">
              <w:rPr>
                <w:lang w:val="it-CH"/>
              </w:rPr>
              <w:t>1 volta alla settimana</w:t>
            </w:r>
          </w:p>
        </w:tc>
        <w:tc>
          <w:tcPr>
            <w:tcW w:w="291" w:type="pct"/>
            <w:shd w:val="clear" w:color="auto" w:fill="F2F2F2" w:themeFill="background1" w:themeFillShade="F2"/>
          </w:tcPr>
          <w:p w:rsidR="00C76B89" w:rsidRPr="00D87649" w:rsidRDefault="00C76B89" w:rsidP="006E0165">
            <w:pPr>
              <w:pStyle w:val="Tabelle"/>
              <w:spacing w:line="240" w:lineRule="exact"/>
              <w:rPr>
                <w:lang w:val="de-CH"/>
              </w:rPr>
            </w:pPr>
          </w:p>
        </w:tc>
      </w:tr>
    </w:tbl>
    <w:p w:rsidR="00C76B89" w:rsidRPr="00852AF0" w:rsidRDefault="00C76B89" w:rsidP="00C76B89">
      <w:pPr>
        <w:pStyle w:val="03BAFUUntertitel"/>
        <w:ind w:left="392" w:hanging="392"/>
        <w:rPr>
          <w:rStyle w:val="05BAFUGrundschriftkursiv"/>
        </w:rPr>
      </w:pPr>
      <w:r>
        <w:rPr>
          <w:rStyle w:val="05BAFUGrundschriftkursiv"/>
          <w:b w:val="0"/>
          <w:i w:val="0"/>
        </w:rPr>
        <w:br/>
      </w:r>
    </w:p>
    <w:p w:rsidR="00423618" w:rsidRPr="0088219E" w:rsidRDefault="00423618" w:rsidP="0088219E">
      <w:pPr>
        <w:rPr>
          <w:rFonts w:ascii="Arial" w:hAnsi="Arial" w:cs="Arial"/>
          <w:noProof/>
          <w:sz w:val="20"/>
          <w:szCs w:val="20"/>
          <w:lang w:eastAsia="de-CH"/>
        </w:rPr>
        <w:sectPr w:rsidR="00423618" w:rsidRPr="0088219E" w:rsidSect="001C0228">
          <w:headerReference w:type="default" r:id="rId9"/>
          <w:pgSz w:w="16838" w:h="11906" w:orient="landscape" w:code="9"/>
          <w:pgMar w:top="426" w:right="852" w:bottom="1021" w:left="794" w:header="567" w:footer="0" w:gutter="0"/>
          <w:cols w:space="708"/>
          <w:titlePg/>
          <w:docGrid w:linePitch="360"/>
        </w:sectPr>
      </w:pPr>
    </w:p>
    <w:p w:rsidR="0088219E" w:rsidRPr="00CD2411" w:rsidRDefault="00CD2411" w:rsidP="0088219E">
      <w:pPr>
        <w:pStyle w:val="02BAFUTitelnummeriert"/>
        <w:rPr>
          <w:lang w:val="it-CH"/>
        </w:rPr>
      </w:pPr>
      <w:r w:rsidRPr="00CD2411">
        <w:rPr>
          <w:lang w:val="it-IT"/>
        </w:rPr>
        <w:lastRenderedPageBreak/>
        <w:t>Smaltimento dei rifiuti ripugnanti o maleodoranti</w:t>
      </w:r>
      <w:r w:rsidRPr="00CD2411">
        <w:rPr>
          <w:vertAlign w:val="superscript"/>
          <w:lang w:val="it-CH"/>
        </w:rPr>
        <w:footnoteReference w:id="3"/>
      </w:r>
    </w:p>
    <w:p w:rsidR="0088219E" w:rsidRDefault="00CD2411" w:rsidP="0088219E">
      <w:pPr>
        <w:pStyle w:val="05BAFUGrundschrift"/>
      </w:pPr>
      <w:r w:rsidRPr="00CD2411">
        <w:rPr>
          <w:lang w:val="it-IT"/>
        </w:rPr>
        <w:t>I rifiuti maleodoranti o ripugnanti (contenenti sangue ecc.) vanno eliminati come rifiuti speciali conformemente alle disposizioni dell’OTRif</w:t>
      </w:r>
      <w:r w:rsidRPr="00CD2411">
        <w:rPr>
          <w:vertAlign w:val="superscript"/>
          <w:lang w:val="it-CH"/>
        </w:rPr>
        <w:footnoteReference w:id="4"/>
      </w:r>
      <w:r w:rsidRPr="00CD2411">
        <w:rPr>
          <w:lang w:val="it-IT"/>
        </w:rPr>
        <w:t xml:space="preserve">. </w:t>
      </w:r>
      <w:r w:rsidRPr="00CD2411">
        <w:rPr>
          <w:lang w:val="it-CH"/>
        </w:rPr>
        <w:t>Prima dello smaltimento i rifiuti infettivi devono essere inattivati.</w:t>
      </w:r>
    </w:p>
    <w:p w:rsidR="0088219E" w:rsidRPr="003F215E" w:rsidRDefault="00CD2411" w:rsidP="0088219E">
      <w:pPr>
        <w:spacing w:after="60"/>
        <w:rPr>
          <w:rFonts w:ascii="Arial" w:hAnsi="Arial"/>
          <w:b/>
          <w:sz w:val="16"/>
          <w:szCs w:val="16"/>
        </w:rPr>
      </w:pPr>
      <w:r w:rsidRPr="00CD2411">
        <w:rPr>
          <w:rFonts w:ascii="Arial" w:hAnsi="Arial"/>
          <w:b/>
          <w:i/>
          <w:iCs/>
          <w:sz w:val="16"/>
          <w:szCs w:val="16"/>
          <w:lang w:val="it-CH"/>
        </w:rPr>
        <w:t>Codificazione secondo l’</w:t>
      </w:r>
      <w:proofErr w:type="spellStart"/>
      <w:r w:rsidRPr="00CD2411">
        <w:rPr>
          <w:rFonts w:ascii="Arial" w:hAnsi="Arial"/>
          <w:b/>
          <w:i/>
          <w:iCs/>
          <w:sz w:val="16"/>
          <w:szCs w:val="16"/>
          <w:lang w:val="it-CH"/>
        </w:rPr>
        <w:t>OTRif</w:t>
      </w:r>
      <w:proofErr w:type="spellEnd"/>
      <w:r w:rsidRPr="00CD2411">
        <w:rPr>
          <w:rFonts w:ascii="Arial" w:hAnsi="Arial"/>
          <w:b/>
          <w:i/>
          <w:iCs/>
          <w:sz w:val="16"/>
          <w:szCs w:val="16"/>
          <w:vertAlign w:val="superscript"/>
          <w:lang w:val="it-CH"/>
        </w:rPr>
        <w:footnoteReference w:id="5"/>
      </w:r>
    </w:p>
    <w:tbl>
      <w:tblPr>
        <w:tblW w:w="977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30"/>
        <w:gridCol w:w="8246"/>
      </w:tblGrid>
      <w:tr w:rsidR="0088219E" w:rsidRPr="0088219E" w:rsidTr="003F215E">
        <w:tc>
          <w:tcPr>
            <w:tcW w:w="1530" w:type="dxa"/>
            <w:tcBorders>
              <w:top w:val="single" w:sz="4" w:space="0" w:color="000000" w:themeColor="text1"/>
            </w:tcBorders>
            <w:shd w:val="clear" w:color="auto" w:fill="auto"/>
          </w:tcPr>
          <w:p w:rsidR="0088219E" w:rsidRPr="0088219E" w:rsidRDefault="00CD2411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CD2411">
              <w:rPr>
                <w:b/>
                <w:bCs/>
                <w:sz w:val="16"/>
                <w:szCs w:val="16"/>
                <w:lang w:val="it-CH"/>
              </w:rPr>
              <w:t>Codice LTR</w:t>
            </w:r>
            <w:r w:rsidRPr="00CD2411">
              <w:rPr>
                <w:b/>
                <w:sz w:val="16"/>
                <w:szCs w:val="16"/>
                <w:vertAlign w:val="superscript"/>
                <w:lang w:val="de-CH"/>
              </w:rPr>
              <w:t xml:space="preserve"> </w:t>
            </w:r>
            <w:r w:rsidR="00F46CCD">
              <w:rPr>
                <w:rStyle w:val="Funotenzeichen"/>
                <w:rFonts w:cs="Arial"/>
                <w:b/>
                <w:sz w:val="16"/>
                <w:szCs w:val="16"/>
                <w:lang w:val="de-CH"/>
              </w:rPr>
              <w:footnoteReference w:id="6"/>
            </w:r>
          </w:p>
        </w:tc>
        <w:tc>
          <w:tcPr>
            <w:tcW w:w="8246" w:type="dxa"/>
            <w:tcBorders>
              <w:top w:val="single" w:sz="4" w:space="0" w:color="000000" w:themeColor="text1"/>
            </w:tcBorders>
            <w:shd w:val="clear" w:color="auto" w:fill="auto"/>
          </w:tcPr>
          <w:p w:rsidR="0088219E" w:rsidRPr="0088219E" w:rsidRDefault="00CD2411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CD2411">
              <w:rPr>
                <w:b/>
                <w:bCs/>
                <w:sz w:val="16"/>
                <w:szCs w:val="16"/>
                <w:lang w:val="it-CH"/>
              </w:rPr>
              <w:t>Descrizione</w:t>
            </w:r>
          </w:p>
        </w:tc>
      </w:tr>
      <w:tr w:rsidR="0088219E" w:rsidRPr="00CD2411" w:rsidTr="003F215E"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88219E" w:rsidRPr="0088219E" w:rsidRDefault="0088219E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88219E">
              <w:rPr>
                <w:sz w:val="16"/>
                <w:szCs w:val="16"/>
                <w:lang w:val="de-CH"/>
              </w:rPr>
              <w:t>18 01 02</w:t>
            </w:r>
          </w:p>
        </w:tc>
        <w:tc>
          <w:tcPr>
            <w:tcW w:w="8246" w:type="dxa"/>
            <w:shd w:val="clear" w:color="auto" w:fill="F2F2F2" w:themeFill="background1" w:themeFillShade="F2"/>
          </w:tcPr>
          <w:p w:rsidR="0088219E" w:rsidRPr="00CD2411" w:rsidRDefault="00CD2411" w:rsidP="006E0165">
            <w:pPr>
              <w:pStyle w:val="Tabelle"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  <w:lang w:val="it-CH"/>
              </w:rPr>
            </w:pPr>
            <w:r w:rsidRPr="00CD2411">
              <w:rPr>
                <w:sz w:val="16"/>
                <w:szCs w:val="16"/>
                <w:lang w:val="it-CH"/>
              </w:rPr>
              <w:t>Rifiuti con pericolo di contaminazione (ad es. scarti di tessuti, rifiuti contenenti sangue, secrezioni e escrezioni, sacche di sangue e sangue conservato)</w:t>
            </w:r>
          </w:p>
        </w:tc>
      </w:tr>
    </w:tbl>
    <w:p w:rsidR="0088219E" w:rsidRPr="00CD2411" w:rsidRDefault="0088219E" w:rsidP="0088219E">
      <w:pPr>
        <w:pStyle w:val="05BAFUGrundschrift"/>
        <w:rPr>
          <w:lang w:val="it-CH"/>
        </w:rPr>
      </w:pPr>
    </w:p>
    <w:p w:rsidR="0088219E" w:rsidRPr="00CD2411" w:rsidRDefault="00CD2411" w:rsidP="0088219E">
      <w:pPr>
        <w:spacing w:after="60"/>
        <w:rPr>
          <w:rFonts w:ascii="Arial" w:hAnsi="Arial"/>
          <w:b/>
          <w:sz w:val="16"/>
          <w:szCs w:val="16"/>
          <w:lang w:val="it-CH"/>
        </w:rPr>
      </w:pPr>
      <w:r w:rsidRPr="00CD2411">
        <w:rPr>
          <w:rFonts w:ascii="Arial" w:hAnsi="Arial"/>
          <w:b/>
          <w:i/>
          <w:iCs/>
          <w:sz w:val="16"/>
          <w:szCs w:val="16"/>
          <w:lang w:val="it-CH"/>
        </w:rPr>
        <w:t>Classificazione secondo l'ADR/SDR (merce pericolosa)</w:t>
      </w:r>
    </w:p>
    <w:tbl>
      <w:tblPr>
        <w:tblW w:w="977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31"/>
        <w:gridCol w:w="1417"/>
        <w:gridCol w:w="1553"/>
        <w:gridCol w:w="851"/>
        <w:gridCol w:w="4424"/>
      </w:tblGrid>
      <w:tr w:rsidR="0088219E" w:rsidRPr="00CD2411" w:rsidTr="003F215E">
        <w:tc>
          <w:tcPr>
            <w:tcW w:w="1531" w:type="dxa"/>
            <w:tcBorders>
              <w:top w:val="single" w:sz="4" w:space="0" w:color="000000" w:themeColor="text1"/>
            </w:tcBorders>
            <w:shd w:val="clear" w:color="auto" w:fill="auto"/>
          </w:tcPr>
          <w:p w:rsidR="0088219E" w:rsidRPr="0088219E" w:rsidRDefault="00CD2411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CD2411">
              <w:rPr>
                <w:b/>
                <w:bCs/>
                <w:sz w:val="16"/>
                <w:szCs w:val="16"/>
                <w:lang w:val="it-CH"/>
              </w:rPr>
              <w:t>Classe</w:t>
            </w:r>
          </w:p>
        </w:tc>
        <w:tc>
          <w:tcPr>
            <w:tcW w:w="1417" w:type="dxa"/>
            <w:tcBorders>
              <w:top w:val="single" w:sz="4" w:space="0" w:color="000000" w:themeColor="text1"/>
            </w:tcBorders>
            <w:shd w:val="clear" w:color="auto" w:fill="auto"/>
          </w:tcPr>
          <w:p w:rsidR="0088219E" w:rsidRPr="0088219E" w:rsidRDefault="00CD2411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CD2411">
              <w:rPr>
                <w:b/>
                <w:bCs/>
                <w:sz w:val="16"/>
                <w:szCs w:val="16"/>
                <w:lang w:val="it-CH"/>
              </w:rPr>
              <w:t>Categoria</w:t>
            </w:r>
          </w:p>
        </w:tc>
        <w:tc>
          <w:tcPr>
            <w:tcW w:w="1553" w:type="dxa"/>
            <w:tcBorders>
              <w:top w:val="single" w:sz="4" w:space="0" w:color="000000" w:themeColor="text1"/>
            </w:tcBorders>
            <w:shd w:val="clear" w:color="auto" w:fill="auto"/>
          </w:tcPr>
          <w:p w:rsidR="0088219E" w:rsidRPr="0088219E" w:rsidRDefault="00CD2411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CD2411">
              <w:rPr>
                <w:b/>
                <w:bCs/>
                <w:sz w:val="16"/>
                <w:szCs w:val="16"/>
                <w:lang w:val="it-CH"/>
              </w:rPr>
              <w:t>Numero UN</w:t>
            </w:r>
          </w:p>
        </w:tc>
        <w:tc>
          <w:tcPr>
            <w:tcW w:w="851" w:type="dxa"/>
            <w:tcBorders>
              <w:top w:val="single" w:sz="4" w:space="0" w:color="000000" w:themeColor="text1"/>
            </w:tcBorders>
            <w:shd w:val="clear" w:color="auto" w:fill="auto"/>
          </w:tcPr>
          <w:p w:rsidR="0088219E" w:rsidRPr="0088219E" w:rsidRDefault="00CD2411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>
              <w:rPr>
                <w:rFonts w:cs="Arial"/>
                <w:b/>
                <w:sz w:val="16"/>
                <w:szCs w:val="16"/>
                <w:lang w:val="de-CH"/>
              </w:rPr>
              <w:t>GI</w:t>
            </w:r>
            <w:r w:rsidR="00A66A3D">
              <w:rPr>
                <w:rStyle w:val="Funotenzeichen"/>
                <w:rFonts w:cs="Arial"/>
                <w:b/>
                <w:sz w:val="16"/>
                <w:szCs w:val="16"/>
                <w:lang w:val="de-CH"/>
              </w:rPr>
              <w:footnoteReference w:id="7"/>
            </w:r>
          </w:p>
        </w:tc>
        <w:tc>
          <w:tcPr>
            <w:tcW w:w="4424" w:type="dxa"/>
            <w:tcBorders>
              <w:top w:val="single" w:sz="4" w:space="0" w:color="000000" w:themeColor="text1"/>
            </w:tcBorders>
            <w:shd w:val="clear" w:color="auto" w:fill="auto"/>
          </w:tcPr>
          <w:p w:rsidR="0088219E" w:rsidRPr="00CD2411" w:rsidRDefault="00CD2411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it-CH"/>
              </w:rPr>
            </w:pPr>
            <w:r w:rsidRPr="00CD2411">
              <w:rPr>
                <w:b/>
                <w:bCs/>
                <w:sz w:val="16"/>
                <w:szCs w:val="16"/>
                <w:lang w:val="it-CH"/>
              </w:rPr>
              <w:t>Limite di esenzione secondo l’ADR/OSAS</w:t>
            </w:r>
          </w:p>
        </w:tc>
      </w:tr>
      <w:tr w:rsidR="0088219E" w:rsidRPr="0088219E" w:rsidTr="003F215E">
        <w:tc>
          <w:tcPr>
            <w:tcW w:w="1531" w:type="dxa"/>
            <w:shd w:val="clear" w:color="auto" w:fill="F2F2F2" w:themeFill="background1" w:themeFillShade="F2"/>
            <w:vAlign w:val="center"/>
          </w:tcPr>
          <w:p w:rsidR="0088219E" w:rsidRPr="0088219E" w:rsidRDefault="0088219E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88219E">
              <w:rPr>
                <w:sz w:val="16"/>
                <w:szCs w:val="16"/>
                <w:lang w:val="de-CH"/>
              </w:rPr>
              <w:t>6.2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88219E" w:rsidRPr="0088219E" w:rsidRDefault="0088219E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88219E">
              <w:rPr>
                <w:sz w:val="16"/>
                <w:szCs w:val="16"/>
                <w:lang w:val="de-CH"/>
              </w:rPr>
              <w:t>B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:rsidR="0088219E" w:rsidRPr="0088219E" w:rsidRDefault="0088219E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88219E">
              <w:rPr>
                <w:sz w:val="16"/>
                <w:szCs w:val="16"/>
                <w:lang w:val="de-CH"/>
              </w:rPr>
              <w:t>3291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88219E" w:rsidRPr="0088219E" w:rsidRDefault="0088219E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88219E">
              <w:rPr>
                <w:sz w:val="16"/>
                <w:szCs w:val="16"/>
                <w:lang w:val="de-CH"/>
              </w:rPr>
              <w:t>II</w:t>
            </w:r>
          </w:p>
        </w:tc>
        <w:tc>
          <w:tcPr>
            <w:tcW w:w="4424" w:type="dxa"/>
            <w:shd w:val="clear" w:color="auto" w:fill="F2F2F2" w:themeFill="background1" w:themeFillShade="F2"/>
          </w:tcPr>
          <w:p w:rsidR="0088219E" w:rsidRPr="0088219E" w:rsidRDefault="00CD2411" w:rsidP="00CD2411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>
              <w:rPr>
                <w:sz w:val="16"/>
                <w:szCs w:val="16"/>
                <w:lang w:val="de-CH"/>
              </w:rPr>
              <w:t>333 kg o l</w:t>
            </w:r>
          </w:p>
        </w:tc>
      </w:tr>
    </w:tbl>
    <w:p w:rsidR="0088219E" w:rsidRDefault="0088219E" w:rsidP="0088219E">
      <w:pPr>
        <w:pStyle w:val="05BAFUGrundschrift"/>
      </w:pPr>
    </w:p>
    <w:p w:rsidR="00A66A3D" w:rsidRDefault="0088219E" w:rsidP="00A66A3D">
      <w:pPr>
        <w:pStyle w:val="02BAFUTitelnummeriert"/>
      </w:pPr>
      <w:r>
        <w:t xml:space="preserve"> </w:t>
      </w:r>
      <w:proofErr w:type="spellStart"/>
      <w:r w:rsidR="00CD2411" w:rsidRPr="00CD2411">
        <w:t>Rifiuti</w:t>
      </w:r>
      <w:proofErr w:type="spellEnd"/>
      <w:r w:rsidR="00CD2411" w:rsidRPr="00CD2411">
        <w:t xml:space="preserve"> </w:t>
      </w:r>
      <w:proofErr w:type="spellStart"/>
      <w:r w:rsidR="00CD2411" w:rsidRPr="00CD2411">
        <w:t>animali</w:t>
      </w:r>
      <w:proofErr w:type="spellEnd"/>
      <w:r w:rsidR="00CD2411" w:rsidRPr="00CD2411">
        <w:rPr>
          <w:vertAlign w:val="superscript"/>
          <w:lang w:val="it-CH"/>
        </w:rPr>
        <w:footnoteReference w:id="8"/>
      </w:r>
    </w:p>
    <w:p w:rsidR="00CD2411" w:rsidRPr="00ED43B5" w:rsidRDefault="00CD2411" w:rsidP="00CD2411">
      <w:pPr>
        <w:pStyle w:val="05BAFUGrundschrift"/>
        <w:rPr>
          <w:rFonts w:ascii="Times New Roman" w:hAnsi="Times New Roman"/>
          <w:lang w:val="it-IT"/>
        </w:rPr>
      </w:pPr>
      <w:r w:rsidRPr="00ED43B5">
        <w:rPr>
          <w:lang w:val="it-IT"/>
        </w:rPr>
        <w:t>In linea di massima, i rifiuti di piccoli animali che derivano dalle attività di classe 2 secondo l’</w:t>
      </w:r>
      <w:proofErr w:type="spellStart"/>
      <w:r w:rsidRPr="00ED43B5">
        <w:rPr>
          <w:lang w:val="it-IT"/>
        </w:rPr>
        <w:t>OIConf</w:t>
      </w:r>
      <w:proofErr w:type="spellEnd"/>
      <w:r w:rsidRPr="00ED43B5">
        <w:rPr>
          <w:lang w:val="it-IT"/>
        </w:rPr>
        <w:t xml:space="preserve"> e che contengono organismi patogeni o geneticamente modificati sono inattivati sul posto ed eliminati nel rispetto della legislazione sulla protezione dell’ambiente o della legislazione sulle epizoozie – a seconda dei casi secondo l</w:t>
      </w:r>
      <w:r>
        <w:rPr>
          <w:lang w:val="it-IT"/>
        </w:rPr>
        <w:t>’</w:t>
      </w:r>
      <w:r w:rsidRPr="00ED43B5">
        <w:rPr>
          <w:lang w:val="it-IT"/>
        </w:rPr>
        <w:t>OESA o secondo l'</w:t>
      </w:r>
      <w:proofErr w:type="spellStart"/>
      <w:r w:rsidRPr="00ED43B5">
        <w:rPr>
          <w:lang w:val="it-IT"/>
        </w:rPr>
        <w:t>OT</w:t>
      </w:r>
      <w:r>
        <w:rPr>
          <w:lang w:val="it-IT"/>
        </w:rPr>
        <w:t>Rif</w:t>
      </w:r>
      <w:proofErr w:type="spellEnd"/>
      <w:r w:rsidRPr="0046742D">
        <w:rPr>
          <w:lang w:val="it-IT"/>
        </w:rPr>
        <w:t>.</w:t>
      </w:r>
    </w:p>
    <w:p w:rsidR="00CD2411" w:rsidRDefault="00CD2411" w:rsidP="00CD2411">
      <w:pPr>
        <w:pStyle w:val="05BAFUGrundschrift"/>
        <w:rPr>
          <w:lang w:val="it-IT"/>
        </w:rPr>
      </w:pPr>
      <w:r w:rsidRPr="00ED43B5">
        <w:rPr>
          <w:lang w:val="it-IT"/>
        </w:rPr>
        <w:t>Dal deposito intermedio fino allo smaltimento i rifiuti vanno refrigerati (almeno +4</w:t>
      </w:r>
      <w:r>
        <w:rPr>
          <w:lang w:val="it-IT"/>
        </w:rPr>
        <w:t> </w:t>
      </w:r>
      <w:r w:rsidRPr="00ED43B5">
        <w:rPr>
          <w:lang w:val="it-IT"/>
        </w:rPr>
        <w:t>°C, temperatura ottimale -20</w:t>
      </w:r>
      <w:r>
        <w:rPr>
          <w:lang w:val="it-IT"/>
        </w:rPr>
        <w:t> </w:t>
      </w:r>
      <w:r w:rsidRPr="00ED43B5">
        <w:rPr>
          <w:lang w:val="it-IT"/>
        </w:rPr>
        <w:t>°C) in un luogo accessibile unicamente al personale specializzato.</w:t>
      </w:r>
    </w:p>
    <w:p w:rsidR="00CD2411" w:rsidRPr="00ED43B5" w:rsidRDefault="00CD2411" w:rsidP="00CD2411">
      <w:pPr>
        <w:pStyle w:val="05BAFUGrundschrift"/>
        <w:rPr>
          <w:rFonts w:ascii="Times New Roman" w:hAnsi="Times New Roman"/>
          <w:lang w:val="it-IT"/>
        </w:rPr>
      </w:pPr>
      <w:r w:rsidRPr="00ED43B5">
        <w:rPr>
          <w:lang w:val="it-IT"/>
        </w:rPr>
        <w:t>Per garantire uno smaltimento e un trasporto conformi alle disposizioni della legislazione federale sulle epizoozie, gli animali morti o le parti di animali morti devono essere identificati in modo chiaro, accompagnati da un documento che indichi l’origine, il tipo di materiale e il luogo di destinazione e inceneriti in un impianto di smaltimento autorizzato (cfr. all</w:t>
      </w:r>
      <w:r>
        <w:rPr>
          <w:lang w:val="it-IT"/>
        </w:rPr>
        <w:t>.</w:t>
      </w:r>
      <w:r w:rsidRPr="00ED43B5">
        <w:rPr>
          <w:lang w:val="it-IT"/>
        </w:rPr>
        <w:t xml:space="preserve"> I OESA).</w:t>
      </w:r>
    </w:p>
    <w:p w:rsidR="00993C56" w:rsidRPr="00CD2411" w:rsidRDefault="00CD2411" w:rsidP="00CD2411">
      <w:pPr>
        <w:pStyle w:val="05BAFUGrundschrift"/>
        <w:rPr>
          <w:lang w:val="it-CH"/>
        </w:rPr>
      </w:pPr>
      <w:r w:rsidRPr="00ED43B5">
        <w:rPr>
          <w:lang w:val="it-IT"/>
        </w:rPr>
        <w:t>Ai fini dello smaltimento e del trasporto come rifiuti speciali è compilato un modulo di accompagnamento conforme all’</w:t>
      </w:r>
      <w:r>
        <w:rPr>
          <w:lang w:val="it-IT"/>
        </w:rPr>
        <w:t xml:space="preserve"> OTRif e LTR</w:t>
      </w:r>
      <w:r w:rsidRPr="00ED43B5">
        <w:rPr>
          <w:lang w:val="it-IT"/>
        </w:rPr>
        <w:t xml:space="preserve"> completato con le indicazioni richieste dall'ADR oppure un documento di trasporto conforme all’ADR. </w:t>
      </w:r>
      <w:r>
        <w:rPr>
          <w:lang w:val="it-CH"/>
        </w:rPr>
        <w:t>Per piccoli quantitativi basta un modulo collettivo.</w:t>
      </w:r>
    </w:p>
    <w:p w:rsidR="00993C56" w:rsidRPr="00CD2411" w:rsidRDefault="00993C56">
      <w:pPr>
        <w:rPr>
          <w:rFonts w:ascii="Arial" w:hAnsi="Arial" w:cs="Arial"/>
          <w:noProof/>
          <w:sz w:val="20"/>
          <w:szCs w:val="20"/>
          <w:lang w:val="it-CH" w:eastAsia="de-CH"/>
        </w:rPr>
      </w:pPr>
      <w:r w:rsidRPr="00CD2411">
        <w:rPr>
          <w:lang w:val="it-CH"/>
        </w:rPr>
        <w:br w:type="page"/>
      </w:r>
    </w:p>
    <w:p w:rsidR="00BD470D" w:rsidRPr="00CD2411" w:rsidRDefault="00CD2411" w:rsidP="00BD470D">
      <w:pPr>
        <w:spacing w:after="60"/>
        <w:rPr>
          <w:rFonts w:ascii="Arial" w:hAnsi="Arial"/>
          <w:b/>
          <w:sz w:val="16"/>
          <w:szCs w:val="16"/>
        </w:rPr>
      </w:pPr>
      <w:r w:rsidRPr="00CD2411">
        <w:rPr>
          <w:rFonts w:ascii="Arial" w:hAnsi="Arial"/>
          <w:b/>
          <w:iCs/>
          <w:sz w:val="16"/>
          <w:szCs w:val="16"/>
          <w:lang w:val="it-CH"/>
        </w:rPr>
        <w:lastRenderedPageBreak/>
        <w:t>Codificazione secondo l’</w:t>
      </w:r>
      <w:proofErr w:type="spellStart"/>
      <w:r w:rsidRPr="00CD2411">
        <w:rPr>
          <w:rFonts w:ascii="Arial" w:hAnsi="Arial"/>
          <w:b/>
          <w:iCs/>
          <w:sz w:val="16"/>
          <w:szCs w:val="16"/>
          <w:lang w:val="it-CH"/>
        </w:rPr>
        <w:t>OTRif</w:t>
      </w:r>
      <w:proofErr w:type="spellEnd"/>
    </w:p>
    <w:tbl>
      <w:tblPr>
        <w:tblW w:w="977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30"/>
        <w:gridCol w:w="8246"/>
      </w:tblGrid>
      <w:tr w:rsidR="00BD470D" w:rsidRPr="0088219E" w:rsidTr="006E0165">
        <w:tc>
          <w:tcPr>
            <w:tcW w:w="1530" w:type="dxa"/>
            <w:tcBorders>
              <w:top w:val="single" w:sz="4" w:space="0" w:color="000000" w:themeColor="text1"/>
            </w:tcBorders>
            <w:shd w:val="clear" w:color="auto" w:fill="auto"/>
          </w:tcPr>
          <w:p w:rsidR="00BD470D" w:rsidRPr="0088219E" w:rsidRDefault="00CD2411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CD2411">
              <w:rPr>
                <w:b/>
                <w:bCs/>
                <w:sz w:val="16"/>
                <w:szCs w:val="16"/>
                <w:lang w:val="it-CH"/>
              </w:rPr>
              <w:t>Codice LTR</w:t>
            </w:r>
            <w:r w:rsidRPr="00CD2411">
              <w:rPr>
                <w:b/>
                <w:sz w:val="16"/>
                <w:szCs w:val="16"/>
                <w:vertAlign w:val="superscript"/>
                <w:lang w:val="de-CH"/>
              </w:rPr>
              <w:t xml:space="preserve"> </w:t>
            </w:r>
            <w:r w:rsidR="00BD470D">
              <w:rPr>
                <w:rStyle w:val="Funotenzeichen"/>
                <w:rFonts w:cs="Arial"/>
                <w:b/>
                <w:sz w:val="16"/>
                <w:szCs w:val="16"/>
                <w:lang w:val="de-CH"/>
              </w:rPr>
              <w:footnoteReference w:id="9"/>
            </w:r>
          </w:p>
        </w:tc>
        <w:tc>
          <w:tcPr>
            <w:tcW w:w="8246" w:type="dxa"/>
            <w:tcBorders>
              <w:top w:val="single" w:sz="4" w:space="0" w:color="000000" w:themeColor="text1"/>
            </w:tcBorders>
            <w:shd w:val="clear" w:color="auto" w:fill="auto"/>
          </w:tcPr>
          <w:p w:rsidR="00BD470D" w:rsidRPr="0088219E" w:rsidRDefault="00CD2411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CD2411">
              <w:rPr>
                <w:b/>
                <w:bCs/>
                <w:sz w:val="16"/>
                <w:szCs w:val="16"/>
                <w:lang w:val="it-CH"/>
              </w:rPr>
              <w:t>Descrizione</w:t>
            </w:r>
          </w:p>
        </w:tc>
      </w:tr>
      <w:tr w:rsidR="00BD470D" w:rsidRPr="00CD2411" w:rsidTr="006E0165"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BD470D" w:rsidRPr="0088219E" w:rsidRDefault="00BD470D" w:rsidP="006E0165">
            <w:pPr>
              <w:pStyle w:val="Tabelle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BD470D">
              <w:rPr>
                <w:sz w:val="16"/>
                <w:szCs w:val="16"/>
                <w:lang w:val="de-CH"/>
              </w:rPr>
              <w:t>18 02 98</w:t>
            </w:r>
          </w:p>
        </w:tc>
        <w:tc>
          <w:tcPr>
            <w:tcW w:w="8246" w:type="dxa"/>
            <w:shd w:val="clear" w:color="auto" w:fill="F2F2F2" w:themeFill="background1" w:themeFillShade="F2"/>
          </w:tcPr>
          <w:p w:rsidR="00CD2411" w:rsidRPr="00CD2411" w:rsidRDefault="00CD2411" w:rsidP="00CD2411">
            <w:pPr>
              <w:pStyle w:val="Tabelle"/>
              <w:rPr>
                <w:sz w:val="16"/>
                <w:szCs w:val="16"/>
                <w:lang w:val="it-IT"/>
              </w:rPr>
            </w:pPr>
            <w:r w:rsidRPr="00CD2411">
              <w:rPr>
                <w:sz w:val="16"/>
                <w:szCs w:val="16"/>
                <w:lang w:val="it-CH"/>
              </w:rPr>
              <w:t>Rifiuti di origine animale con pericolo di contaminazione (ad es. residui di tessuti, rifiuti contenenti sangue, secrezioni e escrezioni, sacche di sangue e sangue conservato,</w:t>
            </w:r>
          </w:p>
          <w:p w:rsidR="00BD470D" w:rsidRPr="00CD2411" w:rsidRDefault="00CD2411" w:rsidP="00CD2411">
            <w:pPr>
              <w:pStyle w:val="Tabelle"/>
              <w:overflowPunct w:val="0"/>
              <w:autoSpaceDE w:val="0"/>
              <w:autoSpaceDN w:val="0"/>
              <w:adjustRightInd w:val="0"/>
              <w:textAlignment w:val="baseline"/>
              <w:rPr>
                <w:sz w:val="16"/>
                <w:szCs w:val="16"/>
                <w:lang w:val="it-CH"/>
              </w:rPr>
            </w:pPr>
            <w:proofErr w:type="gramStart"/>
            <w:r w:rsidRPr="00CD2411">
              <w:rPr>
                <w:sz w:val="16"/>
                <w:szCs w:val="16"/>
                <w:lang w:val="it-CH"/>
              </w:rPr>
              <w:t>carcasse</w:t>
            </w:r>
            <w:proofErr w:type="gramEnd"/>
            <w:r w:rsidRPr="00CD2411">
              <w:rPr>
                <w:sz w:val="16"/>
                <w:szCs w:val="16"/>
                <w:lang w:val="it-CH"/>
              </w:rPr>
              <w:t xml:space="preserve"> contaminate di animali [da laboratorio]).</w:t>
            </w:r>
          </w:p>
        </w:tc>
      </w:tr>
    </w:tbl>
    <w:p w:rsidR="00423618" w:rsidRPr="00CD2411" w:rsidRDefault="00423618" w:rsidP="002B0862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993C56" w:rsidRPr="00CD2411" w:rsidRDefault="00CD2411" w:rsidP="00993C56">
      <w:pPr>
        <w:spacing w:after="60"/>
        <w:rPr>
          <w:rFonts w:ascii="Arial" w:hAnsi="Arial"/>
          <w:b/>
          <w:sz w:val="16"/>
          <w:szCs w:val="16"/>
          <w:lang w:val="it-CH"/>
        </w:rPr>
      </w:pPr>
      <w:r w:rsidRPr="00CD2411">
        <w:rPr>
          <w:rFonts w:ascii="Arial" w:hAnsi="Arial"/>
          <w:b/>
          <w:iCs/>
          <w:sz w:val="16"/>
          <w:szCs w:val="16"/>
          <w:lang w:val="it-CH"/>
        </w:rPr>
        <w:t>Classificazione secondo l'ADR/SDR (merce pericolosa)</w:t>
      </w:r>
    </w:p>
    <w:tbl>
      <w:tblPr>
        <w:tblW w:w="0" w:type="auto"/>
        <w:tblInd w:w="-5" w:type="dxa"/>
        <w:tblLook w:val="01E0" w:firstRow="1" w:lastRow="1" w:firstColumn="1" w:lastColumn="1" w:noHBand="0" w:noVBand="0"/>
      </w:tblPr>
      <w:tblGrid>
        <w:gridCol w:w="1592"/>
        <w:gridCol w:w="1579"/>
        <w:gridCol w:w="1584"/>
        <w:gridCol w:w="727"/>
        <w:gridCol w:w="3010"/>
      </w:tblGrid>
      <w:tr w:rsidR="00993C56" w:rsidRPr="00993C56" w:rsidTr="00993C56">
        <w:tc>
          <w:tcPr>
            <w:tcW w:w="1592" w:type="dxa"/>
            <w:tcBorders>
              <w:top w:val="single" w:sz="4" w:space="0" w:color="000000" w:themeColor="text1"/>
            </w:tcBorders>
            <w:shd w:val="clear" w:color="auto" w:fill="auto"/>
          </w:tcPr>
          <w:p w:rsidR="00993C56" w:rsidRPr="00993C56" w:rsidRDefault="00CD2411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CD2411">
              <w:rPr>
                <w:b/>
                <w:bCs/>
                <w:sz w:val="16"/>
                <w:szCs w:val="16"/>
                <w:lang w:val="it-CH"/>
              </w:rPr>
              <w:t>Classe</w:t>
            </w:r>
          </w:p>
        </w:tc>
        <w:tc>
          <w:tcPr>
            <w:tcW w:w="1579" w:type="dxa"/>
            <w:tcBorders>
              <w:top w:val="single" w:sz="4" w:space="0" w:color="000000" w:themeColor="text1"/>
            </w:tcBorders>
            <w:shd w:val="clear" w:color="auto" w:fill="auto"/>
          </w:tcPr>
          <w:p w:rsidR="00993C56" w:rsidRPr="00993C56" w:rsidRDefault="00CD2411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CD2411">
              <w:rPr>
                <w:b/>
                <w:bCs/>
                <w:sz w:val="16"/>
                <w:szCs w:val="16"/>
                <w:lang w:val="it-CH"/>
              </w:rPr>
              <w:t>Categoria</w:t>
            </w:r>
          </w:p>
        </w:tc>
        <w:tc>
          <w:tcPr>
            <w:tcW w:w="1584" w:type="dxa"/>
            <w:tcBorders>
              <w:top w:val="single" w:sz="4" w:space="0" w:color="000000" w:themeColor="text1"/>
            </w:tcBorders>
            <w:shd w:val="clear" w:color="auto" w:fill="auto"/>
          </w:tcPr>
          <w:p w:rsidR="00993C56" w:rsidRPr="00993C56" w:rsidRDefault="00CD2411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CD2411">
              <w:rPr>
                <w:b/>
                <w:bCs/>
                <w:sz w:val="16"/>
                <w:szCs w:val="16"/>
                <w:lang w:val="it-CH"/>
              </w:rPr>
              <w:t>Numero UN</w:t>
            </w:r>
          </w:p>
        </w:tc>
        <w:tc>
          <w:tcPr>
            <w:tcW w:w="727" w:type="dxa"/>
            <w:tcBorders>
              <w:top w:val="single" w:sz="4" w:space="0" w:color="000000" w:themeColor="text1"/>
            </w:tcBorders>
            <w:shd w:val="clear" w:color="auto" w:fill="auto"/>
          </w:tcPr>
          <w:p w:rsidR="00993C56" w:rsidRPr="00993C56" w:rsidRDefault="00CD2411" w:rsidP="00993C56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>
              <w:rPr>
                <w:rFonts w:cs="Arial"/>
                <w:b/>
                <w:sz w:val="16"/>
                <w:szCs w:val="16"/>
                <w:lang w:val="de-CH"/>
              </w:rPr>
              <w:t>GI</w:t>
            </w:r>
            <w:r w:rsidR="00993C56">
              <w:rPr>
                <w:rStyle w:val="Funotenzeichen"/>
                <w:rFonts w:cs="Arial"/>
                <w:b/>
                <w:sz w:val="16"/>
                <w:szCs w:val="16"/>
                <w:lang w:val="de-CH"/>
              </w:rPr>
              <w:footnoteReference w:id="10"/>
            </w:r>
          </w:p>
        </w:tc>
        <w:tc>
          <w:tcPr>
            <w:tcW w:w="3010" w:type="dxa"/>
            <w:tcBorders>
              <w:top w:val="single" w:sz="4" w:space="0" w:color="000000" w:themeColor="text1"/>
            </w:tcBorders>
            <w:shd w:val="clear" w:color="auto" w:fill="auto"/>
          </w:tcPr>
          <w:p w:rsidR="00993C56" w:rsidRPr="00993C56" w:rsidRDefault="00CD2411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b/>
                <w:sz w:val="16"/>
                <w:szCs w:val="16"/>
                <w:lang w:val="de-CH"/>
              </w:rPr>
            </w:pPr>
            <w:r w:rsidRPr="00CD2411">
              <w:rPr>
                <w:b/>
                <w:bCs/>
                <w:sz w:val="16"/>
                <w:szCs w:val="16"/>
                <w:lang w:val="it-CH"/>
              </w:rPr>
              <w:t>Descrizione</w:t>
            </w:r>
          </w:p>
        </w:tc>
      </w:tr>
      <w:tr w:rsidR="00993C56" w:rsidRPr="00CD2411" w:rsidTr="00993C56">
        <w:tc>
          <w:tcPr>
            <w:tcW w:w="1592" w:type="dxa"/>
            <w:shd w:val="clear" w:color="auto" w:fill="F2F2F2" w:themeFill="background1" w:themeFillShade="F2"/>
          </w:tcPr>
          <w:p w:rsidR="00993C56" w:rsidRPr="00993C56" w:rsidRDefault="00993C56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993C56">
              <w:rPr>
                <w:sz w:val="16"/>
                <w:szCs w:val="16"/>
                <w:lang w:val="de-CH"/>
              </w:rPr>
              <w:t>6.2</w:t>
            </w:r>
          </w:p>
        </w:tc>
        <w:tc>
          <w:tcPr>
            <w:tcW w:w="1579" w:type="dxa"/>
            <w:shd w:val="clear" w:color="auto" w:fill="F2F2F2" w:themeFill="background1" w:themeFillShade="F2"/>
          </w:tcPr>
          <w:p w:rsidR="00993C56" w:rsidRPr="00993C56" w:rsidRDefault="00993C56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993C56">
              <w:rPr>
                <w:sz w:val="16"/>
                <w:szCs w:val="16"/>
                <w:lang w:val="de-CH"/>
              </w:rPr>
              <w:t>B</w:t>
            </w:r>
          </w:p>
        </w:tc>
        <w:tc>
          <w:tcPr>
            <w:tcW w:w="1584" w:type="dxa"/>
            <w:shd w:val="clear" w:color="auto" w:fill="F2F2F2" w:themeFill="background1" w:themeFillShade="F2"/>
          </w:tcPr>
          <w:p w:rsidR="00993C56" w:rsidRPr="00993C56" w:rsidRDefault="00993C56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993C56">
              <w:rPr>
                <w:sz w:val="16"/>
                <w:szCs w:val="16"/>
                <w:lang w:val="de-CH"/>
              </w:rPr>
              <w:t>3291</w:t>
            </w:r>
          </w:p>
        </w:tc>
        <w:tc>
          <w:tcPr>
            <w:tcW w:w="727" w:type="dxa"/>
            <w:shd w:val="clear" w:color="auto" w:fill="F2F2F2" w:themeFill="background1" w:themeFillShade="F2"/>
          </w:tcPr>
          <w:p w:rsidR="00993C56" w:rsidRPr="00993C56" w:rsidRDefault="00993C56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sz w:val="16"/>
                <w:szCs w:val="16"/>
                <w:lang w:val="de-CH"/>
              </w:rPr>
            </w:pPr>
            <w:r w:rsidRPr="00993C56">
              <w:rPr>
                <w:sz w:val="16"/>
                <w:szCs w:val="16"/>
                <w:lang w:val="de-CH"/>
              </w:rPr>
              <w:t>II</w:t>
            </w:r>
          </w:p>
        </w:tc>
        <w:tc>
          <w:tcPr>
            <w:tcW w:w="3010" w:type="dxa"/>
            <w:shd w:val="clear" w:color="auto" w:fill="F2F2F2" w:themeFill="background1" w:themeFillShade="F2"/>
          </w:tcPr>
          <w:p w:rsidR="00993C56" w:rsidRPr="00CD2411" w:rsidRDefault="00CD2411" w:rsidP="006E0165">
            <w:pPr>
              <w:pStyle w:val="Tabelle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sz w:val="16"/>
                <w:szCs w:val="16"/>
                <w:lang w:val="it-CH"/>
              </w:rPr>
            </w:pPr>
            <w:r w:rsidRPr="00CD2411">
              <w:rPr>
                <w:sz w:val="16"/>
                <w:szCs w:val="16"/>
                <w:lang w:val="it-IT"/>
              </w:rPr>
              <w:t xml:space="preserve">Rifiuti clinici non specificati, </w:t>
            </w:r>
            <w:proofErr w:type="spellStart"/>
            <w:r w:rsidRPr="00CD2411">
              <w:rPr>
                <w:sz w:val="16"/>
                <w:szCs w:val="16"/>
                <w:lang w:val="it-IT"/>
              </w:rPr>
              <w:t>n.s.a</w:t>
            </w:r>
            <w:proofErr w:type="spellEnd"/>
            <w:r w:rsidRPr="00CD2411">
              <w:rPr>
                <w:sz w:val="16"/>
                <w:szCs w:val="16"/>
                <w:lang w:val="it-IT"/>
              </w:rPr>
              <w:t>. (rifiuti animali)</w:t>
            </w:r>
          </w:p>
        </w:tc>
      </w:tr>
    </w:tbl>
    <w:p w:rsidR="00993C56" w:rsidRPr="00CD2411" w:rsidRDefault="00993C56" w:rsidP="00993C56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983B25" w:rsidRPr="00CD2411" w:rsidRDefault="00983B25" w:rsidP="00993C56">
      <w:pPr>
        <w:pStyle w:val="05BAFUGrundschriftAufzhlung"/>
        <w:numPr>
          <w:ilvl w:val="0"/>
          <w:numId w:val="0"/>
        </w:numPr>
        <w:rPr>
          <w:lang w:val="it-CH"/>
        </w:rPr>
      </w:pPr>
    </w:p>
    <w:p w:rsidR="00EF1063" w:rsidRPr="00CD2411" w:rsidRDefault="00CD2411" w:rsidP="00EF1063">
      <w:pPr>
        <w:pStyle w:val="02BAFUTitelnummeriert"/>
        <w:rPr>
          <w:lang w:val="it-CH"/>
        </w:rPr>
      </w:pPr>
      <w:r w:rsidRPr="00CD2411">
        <w:rPr>
          <w:lang w:val="it-CH"/>
        </w:rPr>
        <w:t>Punti di contatto con altri ambiti della sicurezza</w:t>
      </w:r>
    </w:p>
    <w:p w:rsidR="00EF1063" w:rsidRPr="00CD2411" w:rsidRDefault="00CD2411" w:rsidP="004E5C57">
      <w:pPr>
        <w:pStyle w:val="05BAFUGrundschriftohneAbstanddanach"/>
        <w:rPr>
          <w:lang w:val="it-CH"/>
        </w:rPr>
      </w:pPr>
      <w:r w:rsidRPr="00CD2411">
        <w:rPr>
          <w:lang w:val="it-CH"/>
        </w:rPr>
        <w:t>In vista dello smaltimento dei rifiuti contaminati da agenti biologici i punti di contatto con altri ambiti della sicurezza sono disciplinati come segue:</w:t>
      </w:r>
    </w:p>
    <w:p w:rsidR="00EF1063" w:rsidRPr="00CD2411" w:rsidRDefault="00CD2411" w:rsidP="00EF1063">
      <w:pPr>
        <w:pStyle w:val="05BAFUGrundschriftAufzhlung"/>
        <w:ind w:left="378" w:hanging="364"/>
        <w:rPr>
          <w:lang w:val="it-CH"/>
        </w:rPr>
      </w:pPr>
      <w:r w:rsidRPr="00CD2411">
        <w:rPr>
          <w:b/>
          <w:bCs/>
          <w:lang w:val="it-CH"/>
        </w:rPr>
        <w:t xml:space="preserve">Materiali radioattivi – </w:t>
      </w:r>
      <w:r w:rsidRPr="00CD2411">
        <w:rPr>
          <w:lang w:val="it-CH"/>
        </w:rPr>
        <w:t>i rifiuti biologici di livello 2 che contengono materiale radioattivo vanno dapprima inattivati completamente con una quantità sufficiente di disinfettante e successivamente eliminati con gli altri rifiuti radioattivi.</w:t>
      </w:r>
    </w:p>
    <w:p w:rsidR="00EF1063" w:rsidRPr="00CD2411" w:rsidRDefault="00CD2411" w:rsidP="00EF1063">
      <w:pPr>
        <w:pStyle w:val="05BAFUGrundschriftAufzhlung"/>
        <w:ind w:left="378" w:hanging="364"/>
        <w:rPr>
          <w:lang w:val="it-CH"/>
        </w:rPr>
      </w:pPr>
      <w:r w:rsidRPr="00CD2411">
        <w:rPr>
          <w:b/>
          <w:bCs/>
          <w:lang w:val="it-CH"/>
        </w:rPr>
        <w:t>Sostanze chimiche –</w:t>
      </w:r>
      <w:r w:rsidRPr="00CD2411">
        <w:rPr>
          <w:bCs/>
          <w:lang w:val="it-CH"/>
        </w:rPr>
        <w:t xml:space="preserve"> </w:t>
      </w:r>
      <w:r w:rsidRPr="00CD2411">
        <w:rPr>
          <w:lang w:val="it-CH"/>
        </w:rPr>
        <w:t>i rifiuti biologici di livello 2 che contengono sostanze chimiche tossiche e cancerogene vanno dapprima inattivati completamente con una quantità sufficiente di disinfettante e successivamente eliminati con i rifiuti speciali dello stesso genere.</w:t>
      </w:r>
    </w:p>
    <w:p w:rsidR="00423618" w:rsidRDefault="00CD2411" w:rsidP="00EF1063">
      <w:pPr>
        <w:pStyle w:val="05BAFUGrundschriftAufzhlung"/>
        <w:ind w:left="378" w:hanging="364"/>
      </w:pPr>
      <w:r w:rsidRPr="00CD2411">
        <w:rPr>
          <w:b/>
          <w:bCs/>
          <w:lang w:val="it-CH"/>
        </w:rPr>
        <w:t xml:space="preserve">Separazione / riciclaggio – </w:t>
      </w:r>
      <w:r w:rsidRPr="00CD2411">
        <w:rPr>
          <w:lang w:val="it-CH"/>
        </w:rPr>
        <w:t>nel limite del possibile i rifiuti vanno separati in diversi gruppi di sostanze.</w:t>
      </w:r>
      <w:r w:rsidRPr="00CD2411">
        <w:rPr>
          <w:lang w:val="it-IT"/>
        </w:rPr>
        <w:t xml:space="preserve"> </w:t>
      </w:r>
      <w:r w:rsidRPr="00CD2411">
        <w:rPr>
          <w:lang w:val="it-CH"/>
        </w:rPr>
        <w:t>Le sostanze riutilizzabili vanno riciclate.</w:t>
      </w: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CD2411" w:rsidRDefault="00CD2411" w:rsidP="002B0862">
      <w:pPr>
        <w:pStyle w:val="05BAFUGrundschriftAufzhlung"/>
        <w:numPr>
          <w:ilvl w:val="0"/>
          <w:numId w:val="0"/>
        </w:numPr>
      </w:pPr>
    </w:p>
    <w:p w:rsidR="00CD2411" w:rsidRDefault="00CD2411" w:rsidP="002B0862">
      <w:pPr>
        <w:pStyle w:val="05BAFUGrundschriftAufzhlung"/>
        <w:numPr>
          <w:ilvl w:val="0"/>
          <w:numId w:val="0"/>
        </w:numPr>
      </w:pPr>
    </w:p>
    <w:p w:rsidR="00CD2411" w:rsidRDefault="00CD2411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p w:rsidR="00323F45" w:rsidRDefault="00323F45" w:rsidP="002B0862">
      <w:pPr>
        <w:pStyle w:val="05BAFUGrundschriftAufzhlung"/>
        <w:numPr>
          <w:ilvl w:val="0"/>
          <w:numId w:val="0"/>
        </w:numPr>
      </w:pPr>
    </w:p>
    <w:tbl>
      <w:tblPr>
        <w:tblStyle w:val="Gitternetztabelle2"/>
        <w:tblpPr w:leftFromText="141" w:rightFromText="141" w:vertAnchor="text" w:horzAnchor="margin" w:tblpY="1662"/>
        <w:tblW w:w="989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EF1063" w:rsidRPr="00843E20" w:rsidTr="00EF10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EF1063" w:rsidRPr="00CF6289" w:rsidRDefault="00CD2411" w:rsidP="00EF1063">
            <w:pPr>
              <w:pStyle w:val="07BAFUTabellelinks"/>
            </w:pPr>
            <w:r w:rsidRPr="00CD2411">
              <w:rPr>
                <w:lang w:val="it-CH"/>
              </w:rPr>
              <w:t>Redatto / approvato</w:t>
            </w:r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EF1063" w:rsidRPr="00CF6289" w:rsidRDefault="00EF1063" w:rsidP="00EF1063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F1063" w:rsidRPr="00843E20" w:rsidTr="00EF10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EF1063" w:rsidRPr="00CF6289" w:rsidRDefault="00CD2411" w:rsidP="00EF1063">
            <w:pPr>
              <w:pStyle w:val="07BAFUTabellelinks"/>
            </w:pPr>
            <w:r>
              <w:t>Data</w:t>
            </w:r>
          </w:p>
        </w:tc>
        <w:tc>
          <w:tcPr>
            <w:tcW w:w="7487" w:type="dxa"/>
            <w:tcBorders>
              <w:top w:val="nil"/>
              <w:bottom w:val="nil"/>
              <w:right w:val="single" w:sz="4" w:space="0" w:color="FFFFFF" w:themeColor="background1"/>
            </w:tcBorders>
          </w:tcPr>
          <w:p w:rsidR="00EF1063" w:rsidRPr="00CF6289" w:rsidRDefault="00EF1063" w:rsidP="00EF1063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23F45" w:rsidRPr="004E03D2" w:rsidRDefault="00323F45" w:rsidP="002B0862">
      <w:pPr>
        <w:pStyle w:val="05BAFUGrundschriftAufzhlung"/>
        <w:numPr>
          <w:ilvl w:val="0"/>
          <w:numId w:val="0"/>
        </w:numPr>
      </w:pPr>
    </w:p>
    <w:sectPr w:rsidR="00323F45" w:rsidRPr="004E03D2" w:rsidSect="00423618">
      <w:pgSz w:w="11906" w:h="16838" w:code="9"/>
      <w:pgMar w:top="852" w:right="1021" w:bottom="794" w:left="1159" w:header="84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126" w:rsidRDefault="00D73126" w:rsidP="00DE38F1">
      <w:pPr>
        <w:spacing w:after="0" w:line="240" w:lineRule="auto"/>
      </w:pPr>
      <w:r>
        <w:separator/>
      </w:r>
    </w:p>
  </w:endnote>
  <w:endnote w:type="continuationSeparator" w:id="0">
    <w:p w:rsidR="00D73126" w:rsidRDefault="00D73126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126" w:rsidRDefault="00D73126" w:rsidP="00DE38F1">
      <w:pPr>
        <w:spacing w:after="0" w:line="240" w:lineRule="auto"/>
      </w:pPr>
    </w:p>
  </w:footnote>
  <w:footnote w:type="continuationSeparator" w:id="0">
    <w:p w:rsidR="00D73126" w:rsidRDefault="00D73126" w:rsidP="00DE38F1">
      <w:pPr>
        <w:spacing w:after="0" w:line="240" w:lineRule="auto"/>
      </w:pPr>
      <w:r>
        <w:continuationSeparator/>
      </w:r>
    </w:p>
  </w:footnote>
  <w:footnote w:id="1">
    <w:p w:rsidR="0042796B" w:rsidRPr="00144FE2" w:rsidRDefault="0042796B" w:rsidP="00144FE2">
      <w:pPr>
        <w:pStyle w:val="05BAFUFussnote"/>
      </w:pPr>
      <w:r w:rsidRPr="00144FE2">
        <w:rPr>
          <w:rStyle w:val="Funotenzeichen"/>
          <w:vertAlign w:val="baseline"/>
        </w:rPr>
        <w:footnoteRef/>
      </w:r>
      <w:r w:rsidRPr="00144FE2">
        <w:t xml:space="preserve"> </w:t>
      </w:r>
      <w:r w:rsidR="00144FE2" w:rsidRPr="00144FE2">
        <w:t xml:space="preserve">LTR = liste per </w:t>
      </w:r>
      <w:proofErr w:type="spellStart"/>
      <w:r w:rsidR="00144FE2" w:rsidRPr="00144FE2">
        <w:t>il</w:t>
      </w:r>
      <w:proofErr w:type="spellEnd"/>
      <w:r w:rsidR="00144FE2" w:rsidRPr="00144FE2">
        <w:t xml:space="preserve"> </w:t>
      </w:r>
      <w:proofErr w:type="spellStart"/>
      <w:r w:rsidR="00144FE2" w:rsidRPr="00144FE2">
        <w:t>traffico</w:t>
      </w:r>
      <w:proofErr w:type="spellEnd"/>
      <w:r w:rsidR="00144FE2" w:rsidRPr="00144FE2">
        <w:t xml:space="preserve"> di </w:t>
      </w:r>
      <w:proofErr w:type="spellStart"/>
      <w:r w:rsidR="00144FE2" w:rsidRPr="00144FE2">
        <w:t>rifiuti</w:t>
      </w:r>
      <w:proofErr w:type="spellEnd"/>
      <w:r w:rsidR="00144FE2" w:rsidRPr="00144FE2">
        <w:t xml:space="preserve">; </w:t>
      </w:r>
      <w:proofErr w:type="spellStart"/>
      <w:r w:rsidR="00144FE2" w:rsidRPr="00144FE2">
        <w:t>codice</w:t>
      </w:r>
      <w:proofErr w:type="spellEnd"/>
      <w:r w:rsidR="00144FE2" w:rsidRPr="00144FE2">
        <w:t xml:space="preserve"> LTR </w:t>
      </w:r>
      <w:proofErr w:type="spellStart"/>
      <w:r w:rsidR="00144FE2" w:rsidRPr="00144FE2">
        <w:t>dell’ordinanza</w:t>
      </w:r>
      <w:proofErr w:type="spellEnd"/>
      <w:r w:rsidR="00144FE2" w:rsidRPr="00144FE2">
        <w:t xml:space="preserve"> del DATEC del 18 </w:t>
      </w:r>
      <w:proofErr w:type="spellStart"/>
      <w:r w:rsidR="00144FE2" w:rsidRPr="00144FE2">
        <w:t>ottobre</w:t>
      </w:r>
      <w:proofErr w:type="spellEnd"/>
      <w:r w:rsidR="00144FE2" w:rsidRPr="00144FE2">
        <w:t xml:space="preserve"> 2005 </w:t>
      </w:r>
      <w:proofErr w:type="spellStart"/>
      <w:r w:rsidR="00144FE2" w:rsidRPr="00144FE2">
        <w:t>sulle</w:t>
      </w:r>
      <w:proofErr w:type="spellEnd"/>
      <w:r w:rsidR="00144FE2" w:rsidRPr="00144FE2">
        <w:t xml:space="preserve"> liste per </w:t>
      </w:r>
      <w:proofErr w:type="spellStart"/>
      <w:r w:rsidR="00144FE2" w:rsidRPr="00144FE2">
        <w:t>il</w:t>
      </w:r>
      <w:proofErr w:type="spellEnd"/>
      <w:r w:rsidR="00144FE2" w:rsidRPr="00144FE2">
        <w:t xml:space="preserve"> </w:t>
      </w:r>
      <w:proofErr w:type="spellStart"/>
      <w:r w:rsidR="00144FE2" w:rsidRPr="00144FE2">
        <w:t>traffico</w:t>
      </w:r>
      <w:proofErr w:type="spellEnd"/>
      <w:r w:rsidR="00144FE2" w:rsidRPr="00144FE2">
        <w:t xml:space="preserve"> di </w:t>
      </w:r>
      <w:proofErr w:type="spellStart"/>
      <w:r w:rsidR="00144FE2" w:rsidRPr="00144FE2">
        <w:t>rifiuti</w:t>
      </w:r>
      <w:proofErr w:type="spellEnd"/>
      <w:r w:rsidR="00144FE2" w:rsidRPr="00144FE2">
        <w:t xml:space="preserve"> (RS 814.610.1)</w:t>
      </w:r>
    </w:p>
  </w:footnote>
  <w:footnote w:id="2">
    <w:p w:rsidR="0042796B" w:rsidRPr="00CD2411" w:rsidRDefault="0042796B" w:rsidP="00144FE2">
      <w:pPr>
        <w:pStyle w:val="05BAFUFussnote"/>
        <w:rPr>
          <w:lang w:val="it-CH"/>
        </w:rPr>
      </w:pPr>
      <w:r w:rsidRPr="00144FE2">
        <w:rPr>
          <w:rStyle w:val="Funotenzeichen"/>
          <w:vertAlign w:val="baseline"/>
        </w:rPr>
        <w:footnoteRef/>
      </w:r>
      <w:r w:rsidRPr="00CD2411">
        <w:rPr>
          <w:lang w:val="it-CH"/>
        </w:rPr>
        <w:t xml:space="preserve"> </w:t>
      </w:r>
      <w:r w:rsidR="00144FE2" w:rsidRPr="00CD2411">
        <w:rPr>
          <w:lang w:val="it-CH"/>
        </w:rPr>
        <w:t>GI = gruppo d’imballaggio</w:t>
      </w:r>
    </w:p>
  </w:footnote>
  <w:footnote w:id="3">
    <w:p w:rsidR="00CD2411" w:rsidRPr="003D2081" w:rsidRDefault="00CD2411" w:rsidP="003D2081">
      <w:pPr>
        <w:pStyle w:val="05BAFUFussnote"/>
        <w:rPr>
          <w:lang w:val="it-CH"/>
        </w:rPr>
      </w:pPr>
      <w:r w:rsidRPr="003D2081">
        <w:rPr>
          <w:rStyle w:val="Funotenzeichen"/>
          <w:vertAlign w:val="baseline"/>
        </w:rPr>
        <w:footnoteRef/>
      </w:r>
      <w:r w:rsidRPr="003D2081">
        <w:rPr>
          <w:lang w:val="it-CH"/>
        </w:rPr>
        <w:t xml:space="preserve"> Se l’azienda non produce rifiuti di questo tipo, il capitolo può essere tralasciato del tutto.</w:t>
      </w:r>
    </w:p>
  </w:footnote>
  <w:footnote w:id="4">
    <w:p w:rsidR="00CD2411" w:rsidRPr="003D2081" w:rsidRDefault="00CD2411" w:rsidP="003D2081">
      <w:pPr>
        <w:pStyle w:val="05BAFUFussnote"/>
        <w:rPr>
          <w:lang w:val="it-CH"/>
        </w:rPr>
      </w:pPr>
      <w:r w:rsidRPr="003D2081">
        <w:rPr>
          <w:rStyle w:val="Funotenzeichen"/>
          <w:vertAlign w:val="baseline"/>
        </w:rPr>
        <w:footnoteRef/>
      </w:r>
      <w:r w:rsidRPr="003D2081">
        <w:rPr>
          <w:lang w:val="it-CH"/>
        </w:rPr>
        <w:t xml:space="preserve"> </w:t>
      </w:r>
      <w:bookmarkStart w:id="1" w:name="_Hlt125787957"/>
      <w:bookmarkStart w:id="2" w:name="_Hlt125787958"/>
      <w:bookmarkStart w:id="3" w:name="_Hlt125788106"/>
      <w:bookmarkStart w:id="4" w:name="_Hlt125788107"/>
      <w:r w:rsidRPr="003D2081">
        <w:rPr>
          <w:lang w:val="it-CH"/>
        </w:rPr>
        <w:t>Cfr. pag. 6-14 della raccomandazione</w:t>
      </w:r>
      <w:bookmarkEnd w:id="1"/>
      <w:bookmarkEnd w:id="2"/>
      <w:bookmarkEnd w:id="3"/>
      <w:bookmarkEnd w:id="4"/>
      <w:r w:rsidRPr="003D2081">
        <w:rPr>
          <w:lang w:val="it-CH"/>
        </w:rPr>
        <w:t xml:space="preserve"> della CFSB «</w:t>
      </w:r>
      <w:proofErr w:type="spellStart"/>
      <w:r w:rsidRPr="003D2081">
        <w:rPr>
          <w:lang w:val="it-CH"/>
        </w:rPr>
        <w:t>Behandlung</w:t>
      </w:r>
      <w:proofErr w:type="spellEnd"/>
      <w:r w:rsidRPr="003D2081">
        <w:rPr>
          <w:lang w:val="it-CH"/>
        </w:rPr>
        <w:t xml:space="preserve"> und </w:t>
      </w:r>
      <w:proofErr w:type="spellStart"/>
      <w:r w:rsidRPr="003D2081">
        <w:rPr>
          <w:lang w:val="it-CH"/>
        </w:rPr>
        <w:t>Entsorgung</w:t>
      </w:r>
      <w:proofErr w:type="spellEnd"/>
      <w:r w:rsidRPr="003D2081">
        <w:rPr>
          <w:lang w:val="it-CH"/>
        </w:rPr>
        <w:t xml:space="preserve"> von </w:t>
      </w:r>
      <w:proofErr w:type="spellStart"/>
      <w:r w:rsidRPr="003D2081">
        <w:rPr>
          <w:lang w:val="it-CH"/>
        </w:rPr>
        <w:t>Abfällen</w:t>
      </w:r>
      <w:proofErr w:type="spellEnd"/>
      <w:r w:rsidRPr="003D2081">
        <w:rPr>
          <w:lang w:val="it-CH"/>
        </w:rPr>
        <w:t xml:space="preserve"> in </w:t>
      </w:r>
      <w:proofErr w:type="spellStart"/>
      <w:r w:rsidRPr="003D2081">
        <w:rPr>
          <w:lang w:val="it-CH"/>
        </w:rPr>
        <w:t>geschlossenen</w:t>
      </w:r>
      <w:proofErr w:type="spellEnd"/>
      <w:r w:rsidRPr="003D2081">
        <w:rPr>
          <w:lang w:val="it-CH"/>
        </w:rPr>
        <w:t xml:space="preserve"> </w:t>
      </w:r>
      <w:proofErr w:type="spellStart"/>
      <w:r w:rsidRPr="003D2081">
        <w:rPr>
          <w:lang w:val="it-CH"/>
        </w:rPr>
        <w:t>Systemen</w:t>
      </w:r>
      <w:proofErr w:type="spellEnd"/>
      <w:r w:rsidRPr="003D2081">
        <w:rPr>
          <w:lang w:val="it-CH"/>
        </w:rPr>
        <w:t>», 2009 (versione aggiornata aprile 2017); Commissione federale per la sicurezza biologica, c/o Ufficio federale dell’ambiente, CH-3003 Berna, link: https://www.efbs.admin.ch/inhalte/dokumentation/empfehlungen/Empfehlungen_aktuell/Abfall_EFBS_D.pdf</w:t>
      </w:r>
    </w:p>
  </w:footnote>
  <w:footnote w:id="5">
    <w:p w:rsidR="00CD2411" w:rsidRPr="003D2081" w:rsidRDefault="00CD2411" w:rsidP="003D2081">
      <w:pPr>
        <w:pStyle w:val="05BAFUFussnote"/>
        <w:rPr>
          <w:lang w:val="it-CH"/>
        </w:rPr>
      </w:pPr>
      <w:r w:rsidRPr="003D2081">
        <w:rPr>
          <w:rStyle w:val="Funotenzeichen"/>
          <w:vertAlign w:val="baseline"/>
        </w:rPr>
        <w:footnoteRef/>
      </w:r>
      <w:r w:rsidRPr="003D2081">
        <w:rPr>
          <w:lang w:val="it-CH"/>
        </w:rPr>
        <w:t xml:space="preserve"> </w:t>
      </w:r>
      <w:bookmarkStart w:id="5" w:name="_Hlt125788308"/>
      <w:bookmarkStart w:id="6" w:name="_Hlt125788309"/>
      <w:r w:rsidRPr="003D2081">
        <w:rPr>
          <w:lang w:val="it-CH"/>
        </w:rPr>
        <w:t>Ordinanza del 22 giugno 2005 sul traffico di rifiuti (</w:t>
      </w:r>
      <w:proofErr w:type="spellStart"/>
      <w:r w:rsidRPr="003D2081">
        <w:rPr>
          <w:lang w:val="it-CH"/>
        </w:rPr>
        <w:t>OTRif</w:t>
      </w:r>
      <w:proofErr w:type="spellEnd"/>
      <w:r w:rsidRPr="003D2081">
        <w:rPr>
          <w:lang w:val="it-CH"/>
        </w:rPr>
        <w:t xml:space="preserve">, RS 814.610); cfr. </w:t>
      </w:r>
      <w:hyperlink r:id="rId1" w:history="1">
        <w:proofErr w:type="gramStart"/>
        <w:r w:rsidRPr="003D2081">
          <w:rPr>
            <w:rStyle w:val="Hyperlink"/>
            <w:i w:val="0"/>
            <w:lang w:val="it-CH"/>
          </w:rPr>
          <w:t>http://www.bafu.admin.ch/</w:t>
        </w:r>
      </w:hyperlink>
      <w:r w:rsidRPr="003D2081">
        <w:rPr>
          <w:lang w:val="it-CH"/>
        </w:rPr>
        <w:t xml:space="preserve"> »</w:t>
      </w:r>
      <w:proofErr w:type="gramEnd"/>
      <w:r w:rsidRPr="003D2081">
        <w:rPr>
          <w:lang w:val="it-CH"/>
        </w:rPr>
        <w:t xml:space="preserve"> Temi » </w:t>
      </w:r>
      <w:hyperlink r:id="rId2" w:history="1">
        <w:r w:rsidRPr="003D2081">
          <w:rPr>
            <w:lang w:val="it-CH"/>
          </w:rPr>
          <w:t>Rifiuti</w:t>
        </w:r>
      </w:hyperlink>
      <w:r w:rsidRPr="003D2081">
        <w:rPr>
          <w:lang w:val="it-CH"/>
        </w:rPr>
        <w:t xml:space="preserve"> » Basi legali » Rifiuti: leggi e ordinanze</w:t>
      </w:r>
      <w:bookmarkEnd w:id="5"/>
      <w:bookmarkEnd w:id="6"/>
      <w:r w:rsidRPr="003D2081">
        <w:rPr>
          <w:lang w:val="it-CH"/>
        </w:rPr>
        <w:t>.</w:t>
      </w:r>
    </w:p>
  </w:footnote>
  <w:footnote w:id="6">
    <w:p w:rsidR="00F46CCD" w:rsidRPr="00CD2411" w:rsidRDefault="00F46CCD" w:rsidP="00A66A3D">
      <w:pPr>
        <w:pStyle w:val="05BAFUFussnote"/>
        <w:rPr>
          <w:lang w:val="it-CH"/>
        </w:rPr>
      </w:pPr>
      <w:r w:rsidRPr="00A66A3D">
        <w:rPr>
          <w:rStyle w:val="Funotenzeichen"/>
          <w:vertAlign w:val="baseline"/>
        </w:rPr>
        <w:footnoteRef/>
      </w:r>
      <w:r w:rsidRPr="00CD2411">
        <w:rPr>
          <w:lang w:val="it-CH"/>
        </w:rPr>
        <w:t xml:space="preserve"> </w:t>
      </w:r>
      <w:r w:rsidR="00CD2411" w:rsidRPr="00CD2411">
        <w:rPr>
          <w:lang w:val="it-CH"/>
        </w:rPr>
        <w:t xml:space="preserve">LTR = </w:t>
      </w:r>
      <w:r w:rsidR="00CD2411" w:rsidRPr="00CD2411">
        <w:rPr>
          <w:lang w:val="it-IT"/>
        </w:rPr>
        <w:t xml:space="preserve">liste per il traffico di rifiuti; </w:t>
      </w:r>
      <w:r w:rsidR="00CD2411" w:rsidRPr="00CD2411">
        <w:rPr>
          <w:i/>
          <w:iCs/>
          <w:lang w:val="it-IT"/>
        </w:rPr>
        <w:t>codice LTR dell’ordinanza del DATEC del 18 ottobre 2005 sulle liste per il traffico di rifiuti (RS 814.610.1)</w:t>
      </w:r>
    </w:p>
  </w:footnote>
  <w:footnote w:id="7">
    <w:p w:rsidR="00A66A3D" w:rsidRPr="00CD2411" w:rsidRDefault="00A66A3D" w:rsidP="00A66A3D">
      <w:pPr>
        <w:pStyle w:val="05BAFUFussnote"/>
        <w:rPr>
          <w:lang w:val="it-CH"/>
        </w:rPr>
      </w:pPr>
      <w:r w:rsidRPr="00A66A3D">
        <w:rPr>
          <w:rStyle w:val="Funotenzeichen"/>
          <w:vertAlign w:val="baseline"/>
        </w:rPr>
        <w:footnoteRef/>
      </w:r>
      <w:r w:rsidRPr="00CD2411">
        <w:rPr>
          <w:lang w:val="it-CH"/>
        </w:rPr>
        <w:t xml:space="preserve"> </w:t>
      </w:r>
      <w:r w:rsidR="00CD2411" w:rsidRPr="00CD2411">
        <w:rPr>
          <w:lang w:val="it-CH"/>
        </w:rPr>
        <w:t>GI = gruppo d’imballaggio</w:t>
      </w:r>
    </w:p>
  </w:footnote>
  <w:footnote w:id="8">
    <w:p w:rsidR="00CD2411" w:rsidRPr="003D2081" w:rsidRDefault="00CD2411" w:rsidP="003D2081">
      <w:pPr>
        <w:pStyle w:val="05BAFUFussnote"/>
      </w:pPr>
      <w:r w:rsidRPr="003D2081">
        <w:rPr>
          <w:rStyle w:val="Funotenzeichen"/>
          <w:vertAlign w:val="baseline"/>
        </w:rPr>
        <w:footnoteRef/>
      </w:r>
      <w:r w:rsidRPr="003D2081">
        <w:t xml:space="preserve"> </w:t>
      </w:r>
      <w:bookmarkStart w:id="7" w:name="_GoBack"/>
      <w:bookmarkEnd w:id="7"/>
      <w:r w:rsidRPr="003D2081">
        <w:t xml:space="preserve">Se </w:t>
      </w:r>
      <w:proofErr w:type="spellStart"/>
      <w:r w:rsidRPr="003D2081">
        <w:t>l’azienda</w:t>
      </w:r>
      <w:proofErr w:type="spellEnd"/>
      <w:r w:rsidRPr="003D2081">
        <w:t xml:space="preserve"> non </w:t>
      </w:r>
      <w:proofErr w:type="spellStart"/>
      <w:r w:rsidRPr="003D2081">
        <w:t>produce</w:t>
      </w:r>
      <w:proofErr w:type="spellEnd"/>
      <w:r w:rsidRPr="003D2081">
        <w:t xml:space="preserve"> </w:t>
      </w:r>
      <w:proofErr w:type="spellStart"/>
      <w:r w:rsidRPr="003D2081">
        <w:t>rifiuti</w:t>
      </w:r>
      <w:proofErr w:type="spellEnd"/>
      <w:r w:rsidRPr="003D2081">
        <w:t xml:space="preserve"> di </w:t>
      </w:r>
      <w:proofErr w:type="spellStart"/>
      <w:r w:rsidRPr="003D2081">
        <w:t>questo</w:t>
      </w:r>
      <w:proofErr w:type="spellEnd"/>
      <w:r w:rsidRPr="003D2081">
        <w:t xml:space="preserve"> </w:t>
      </w:r>
      <w:proofErr w:type="spellStart"/>
      <w:r w:rsidRPr="003D2081">
        <w:t>tipo</w:t>
      </w:r>
      <w:proofErr w:type="spellEnd"/>
      <w:r w:rsidRPr="003D2081">
        <w:t xml:space="preserve">, </w:t>
      </w:r>
      <w:proofErr w:type="spellStart"/>
      <w:r w:rsidRPr="003D2081">
        <w:t>il</w:t>
      </w:r>
      <w:proofErr w:type="spellEnd"/>
      <w:r w:rsidRPr="003D2081">
        <w:t xml:space="preserve"> </w:t>
      </w:r>
      <w:proofErr w:type="spellStart"/>
      <w:r w:rsidRPr="003D2081">
        <w:t>capitolo</w:t>
      </w:r>
      <w:proofErr w:type="spellEnd"/>
      <w:r w:rsidRPr="003D2081">
        <w:t xml:space="preserve"> </w:t>
      </w:r>
      <w:proofErr w:type="spellStart"/>
      <w:r w:rsidRPr="003D2081">
        <w:t>può</w:t>
      </w:r>
      <w:proofErr w:type="spellEnd"/>
      <w:r w:rsidRPr="003D2081">
        <w:t xml:space="preserve"> </w:t>
      </w:r>
      <w:proofErr w:type="spellStart"/>
      <w:r w:rsidRPr="003D2081">
        <w:t>essere</w:t>
      </w:r>
      <w:proofErr w:type="spellEnd"/>
      <w:r w:rsidRPr="003D2081">
        <w:t xml:space="preserve"> </w:t>
      </w:r>
      <w:proofErr w:type="spellStart"/>
      <w:r w:rsidRPr="003D2081">
        <w:t>tralasciato</w:t>
      </w:r>
      <w:proofErr w:type="spellEnd"/>
      <w:r w:rsidRPr="003D2081">
        <w:t xml:space="preserve"> del </w:t>
      </w:r>
      <w:proofErr w:type="spellStart"/>
      <w:r w:rsidRPr="003D2081">
        <w:t>tutto</w:t>
      </w:r>
      <w:proofErr w:type="spellEnd"/>
      <w:r w:rsidRPr="003D2081">
        <w:t>.</w:t>
      </w:r>
    </w:p>
  </w:footnote>
  <w:footnote w:id="9">
    <w:p w:rsidR="00BD470D" w:rsidRPr="00CD2411" w:rsidRDefault="00BD470D" w:rsidP="00BD470D">
      <w:pPr>
        <w:pStyle w:val="05BAFUFussnote"/>
        <w:rPr>
          <w:lang w:val="it-CH"/>
        </w:rPr>
      </w:pPr>
      <w:r w:rsidRPr="00CD2411">
        <w:rPr>
          <w:rStyle w:val="Funotenzeichen"/>
          <w:vertAlign w:val="baseline"/>
        </w:rPr>
        <w:footnoteRef/>
      </w:r>
      <w:r w:rsidRPr="00CD2411">
        <w:rPr>
          <w:lang w:val="it-CH"/>
        </w:rPr>
        <w:t xml:space="preserve"> </w:t>
      </w:r>
      <w:r w:rsidR="00CD2411" w:rsidRPr="00CD2411">
        <w:rPr>
          <w:lang w:val="it-IT"/>
        </w:rPr>
        <w:t xml:space="preserve">LTR = liste per il traffico di rifiuti; </w:t>
      </w:r>
      <w:r w:rsidR="00CD2411" w:rsidRPr="00CD2411">
        <w:rPr>
          <w:iCs/>
          <w:lang w:val="it-IT"/>
        </w:rPr>
        <w:t>codice LTR dell’ordinanza del DATEC del 18 ottobre 2005 sulle liste per il traffico di rifiuti (RS 814.610.1)</w:t>
      </w:r>
    </w:p>
  </w:footnote>
  <w:footnote w:id="10">
    <w:p w:rsidR="00993C56" w:rsidRPr="00993C56" w:rsidRDefault="00993C56" w:rsidP="00993C56">
      <w:pPr>
        <w:pStyle w:val="05BAFUFussnote"/>
        <w:rPr>
          <w:lang w:val="fr-CH"/>
        </w:rPr>
      </w:pPr>
      <w:r>
        <w:rPr>
          <w:rStyle w:val="Funotenzeichen"/>
        </w:rPr>
        <w:footnoteRef/>
      </w:r>
      <w:r>
        <w:t xml:space="preserve"> </w:t>
      </w:r>
      <w:r w:rsidR="00CD2411" w:rsidRPr="00CD2411">
        <w:rPr>
          <w:lang w:val="it-IT"/>
        </w:rPr>
        <w:t>GI = gruppo d’imballaggio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3C2" w:rsidRPr="00144FE2" w:rsidRDefault="00144FE2" w:rsidP="00423618">
    <w:pPr>
      <w:pStyle w:val="Kopfzeile"/>
      <w:tabs>
        <w:tab w:val="right" w:pos="9866"/>
      </w:tabs>
      <w:rPr>
        <w:lang w:val="it-CH"/>
      </w:rPr>
    </w:pPr>
    <w:r w:rsidRPr="00144FE2">
      <w:rPr>
        <w:noProof/>
        <w:lang w:val="it-CH"/>
      </w:rPr>
      <w:t>Allegato</w:t>
    </w:r>
    <w:r w:rsidR="003A43C2" w:rsidRPr="00144FE2">
      <w:rPr>
        <w:noProof/>
        <w:lang w:val="it-CH"/>
      </w:rPr>
      <w:t xml:space="preserve"> 1</w:t>
    </w:r>
    <w:r w:rsidR="00737F18" w:rsidRPr="00144FE2">
      <w:rPr>
        <w:noProof/>
        <w:lang w:val="it-CH"/>
      </w:rPr>
      <w:t>4</w:t>
    </w:r>
    <w:r w:rsidR="003A43C2" w:rsidRPr="00144FE2">
      <w:rPr>
        <w:noProof/>
        <w:lang w:val="it-CH"/>
      </w:rPr>
      <w:t xml:space="preserve">. </w:t>
    </w:r>
    <w:r w:rsidRPr="00144FE2">
      <w:rPr>
        <w:noProof/>
        <w:lang w:val="it-CH"/>
      </w:rPr>
      <w:t>Piano di sicurezza aziendale per laboratori di livello 2</w:t>
    </w:r>
    <w:r w:rsidR="003A43C2" w:rsidRPr="00144FE2">
      <w:rPr>
        <w:rStyle w:val="99Kopfzeilegrau"/>
        <w:lang w:val="it-CH"/>
      </w:rPr>
      <w:t xml:space="preserve"> © </w:t>
    </w:r>
    <w:r w:rsidRPr="00144FE2">
      <w:rPr>
        <w:rStyle w:val="99Kopfzeilegrau"/>
        <w:lang w:val="it-CH"/>
      </w:rPr>
      <w:t>UFAM</w:t>
    </w:r>
    <w:r w:rsidR="003A43C2" w:rsidRPr="00144FE2">
      <w:rPr>
        <w:rStyle w:val="99Kopfzeilegrau"/>
        <w:lang w:val="it-CH"/>
      </w:rPr>
      <w:t xml:space="preserve"> 2019</w:t>
    </w:r>
    <w:r w:rsidR="003A43C2" w:rsidRPr="00144FE2">
      <w:rPr>
        <w:lang w:val="it-CH"/>
      </w:rPr>
      <w:tab/>
    </w:r>
    <w:r w:rsidR="003A43C2" w:rsidRPr="00144FE2">
      <w:fldChar w:fldCharType="begin"/>
    </w:r>
    <w:r w:rsidR="003A43C2" w:rsidRPr="00144FE2">
      <w:rPr>
        <w:lang w:val="it-CH"/>
      </w:rPr>
      <w:instrText>PAGE   \* MERGEFORMAT</w:instrText>
    </w:r>
    <w:r w:rsidR="003A43C2" w:rsidRPr="00144FE2">
      <w:fldChar w:fldCharType="separate"/>
    </w:r>
    <w:r w:rsidR="003D2081">
      <w:rPr>
        <w:noProof/>
        <w:lang w:val="it-CH"/>
      </w:rPr>
      <w:t>1</w:t>
    </w:r>
    <w:r w:rsidR="003A43C2" w:rsidRPr="00144FE2">
      <w:fldChar w:fldCharType="end"/>
    </w:r>
  </w:p>
  <w:p w:rsidR="003A43C2" w:rsidRPr="00144FE2" w:rsidRDefault="003A43C2" w:rsidP="00423618">
    <w:pPr>
      <w:pStyle w:val="99BAFUSatzspiegellinie"/>
      <w:tabs>
        <w:tab w:val="clear" w:pos="9072"/>
        <w:tab w:val="left" w:pos="1038"/>
      </w:tabs>
      <w:rPr>
        <w:lang w:val="it-CH"/>
      </w:rPr>
    </w:pPr>
  </w:p>
  <w:p w:rsidR="003A43C2" w:rsidRPr="00144FE2" w:rsidRDefault="003A43C2" w:rsidP="00423618">
    <w:pPr>
      <w:pStyle w:val="Kopfzeile"/>
      <w:rPr>
        <w:lang w:val="it-CH"/>
      </w:rPr>
    </w:pPr>
  </w:p>
  <w:p w:rsidR="003A43C2" w:rsidRPr="00144FE2" w:rsidRDefault="003A43C2">
    <w:pPr>
      <w:pStyle w:val="Kopfzeile"/>
      <w:rPr>
        <w:lang w:val="it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081" w:rsidRPr="00144FE2" w:rsidRDefault="003D2081" w:rsidP="003D2081">
    <w:pPr>
      <w:pStyle w:val="Kopfzeile"/>
      <w:tabs>
        <w:tab w:val="clear" w:pos="9072"/>
        <w:tab w:val="right" w:pos="15168"/>
      </w:tabs>
      <w:rPr>
        <w:lang w:val="it-CH"/>
      </w:rPr>
    </w:pPr>
    <w:r w:rsidRPr="00144FE2">
      <w:rPr>
        <w:noProof/>
        <w:lang w:val="it-CH"/>
      </w:rPr>
      <w:t>Allegato 14. Piano di sicurezza aziendale per laboratori di livello 2</w:t>
    </w:r>
    <w:r w:rsidRPr="00144FE2">
      <w:rPr>
        <w:rStyle w:val="99Kopfzeilegrau"/>
        <w:lang w:val="it-CH"/>
      </w:rPr>
      <w:t xml:space="preserve"> © UFAM 2019</w:t>
    </w:r>
    <w:r w:rsidRPr="00144FE2">
      <w:rPr>
        <w:lang w:val="it-CH"/>
      </w:rPr>
      <w:tab/>
    </w:r>
    <w:r w:rsidRPr="00144FE2">
      <w:fldChar w:fldCharType="begin"/>
    </w:r>
    <w:r w:rsidRPr="00144FE2">
      <w:rPr>
        <w:lang w:val="it-CH"/>
      </w:rPr>
      <w:instrText>PAGE   \* MERGEFORMAT</w:instrText>
    </w:r>
    <w:r w:rsidRPr="00144FE2">
      <w:fldChar w:fldCharType="separate"/>
    </w:r>
    <w:r>
      <w:rPr>
        <w:noProof/>
        <w:lang w:val="it-CH"/>
      </w:rPr>
      <w:t>5</w:t>
    </w:r>
    <w:r w:rsidRPr="00144FE2">
      <w:fldChar w:fldCharType="end"/>
    </w:r>
  </w:p>
  <w:p w:rsidR="003A43C2" w:rsidRPr="003D2081" w:rsidRDefault="003A43C2" w:rsidP="003D2081">
    <w:pPr>
      <w:pStyle w:val="99BAFUSatzspiegellinie"/>
      <w:tabs>
        <w:tab w:val="clear" w:pos="9072"/>
        <w:tab w:val="left" w:pos="1997"/>
        <w:tab w:val="left" w:pos="2338"/>
        <w:tab w:val="right" w:pos="15168"/>
      </w:tabs>
      <w:rPr>
        <w:lang w:val="it-CH"/>
      </w:rPr>
    </w:pPr>
  </w:p>
  <w:p w:rsidR="003A43C2" w:rsidRPr="003D2081" w:rsidRDefault="003A43C2" w:rsidP="00423618">
    <w:pPr>
      <w:pStyle w:val="Kopfzeile"/>
      <w:rPr>
        <w:lang w:val="it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3" w15:restartNumberingAfterBreak="0">
    <w:nsid w:val="2A8618D9"/>
    <w:multiLevelType w:val="hybridMultilevel"/>
    <w:tmpl w:val="D5A25C10"/>
    <w:lvl w:ilvl="0" w:tplc="C26C30C4">
      <w:start w:val="1"/>
      <w:numFmt w:val="bullet"/>
      <w:pStyle w:val="05BAFUGrundschriftAufzhlung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7DE22146"/>
    <w:multiLevelType w:val="hybridMultilevel"/>
    <w:tmpl w:val="BAEC90EE"/>
    <w:lvl w:ilvl="0" w:tplc="39A6101E">
      <w:start w:val="1"/>
      <w:numFmt w:val="decimal"/>
      <w:pStyle w:val="02BAFUTitelnummeriert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3"/>
  </w:num>
  <w:num w:numId="9">
    <w:abstractNumId w:val="6"/>
  </w:num>
  <w:num w:numId="10">
    <w:abstractNumId w:val="3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02B76"/>
    <w:rsid w:val="000159CF"/>
    <w:rsid w:val="0002726B"/>
    <w:rsid w:val="000508B2"/>
    <w:rsid w:val="000512CD"/>
    <w:rsid w:val="00054899"/>
    <w:rsid w:val="000568A8"/>
    <w:rsid w:val="000731DA"/>
    <w:rsid w:val="00077CC3"/>
    <w:rsid w:val="00084994"/>
    <w:rsid w:val="00087890"/>
    <w:rsid w:val="000904E5"/>
    <w:rsid w:val="000B52E9"/>
    <w:rsid w:val="000C7E51"/>
    <w:rsid w:val="000D6AEE"/>
    <w:rsid w:val="000E0AFD"/>
    <w:rsid w:val="000E452C"/>
    <w:rsid w:val="000E45B2"/>
    <w:rsid w:val="00114F0A"/>
    <w:rsid w:val="0011540C"/>
    <w:rsid w:val="00137A4D"/>
    <w:rsid w:val="0014129F"/>
    <w:rsid w:val="00141E0E"/>
    <w:rsid w:val="00144FE2"/>
    <w:rsid w:val="00151AA2"/>
    <w:rsid w:val="00153C5B"/>
    <w:rsid w:val="00153F00"/>
    <w:rsid w:val="00153F2E"/>
    <w:rsid w:val="001616BD"/>
    <w:rsid w:val="001651FF"/>
    <w:rsid w:val="00166B18"/>
    <w:rsid w:val="001710A2"/>
    <w:rsid w:val="00171342"/>
    <w:rsid w:val="00174045"/>
    <w:rsid w:val="001773BB"/>
    <w:rsid w:val="00194DC9"/>
    <w:rsid w:val="001A44A2"/>
    <w:rsid w:val="001B43F2"/>
    <w:rsid w:val="001C0228"/>
    <w:rsid w:val="001C1F8F"/>
    <w:rsid w:val="001C37D6"/>
    <w:rsid w:val="001C5CBC"/>
    <w:rsid w:val="001D5333"/>
    <w:rsid w:val="001D571F"/>
    <w:rsid w:val="001D5784"/>
    <w:rsid w:val="001E08D4"/>
    <w:rsid w:val="001E33A5"/>
    <w:rsid w:val="001F376D"/>
    <w:rsid w:val="001F3837"/>
    <w:rsid w:val="00203AE3"/>
    <w:rsid w:val="00206A92"/>
    <w:rsid w:val="0022112A"/>
    <w:rsid w:val="00252555"/>
    <w:rsid w:val="00256463"/>
    <w:rsid w:val="002677B6"/>
    <w:rsid w:val="00267CF3"/>
    <w:rsid w:val="00276DDF"/>
    <w:rsid w:val="00284FE3"/>
    <w:rsid w:val="00286B19"/>
    <w:rsid w:val="002A0483"/>
    <w:rsid w:val="002B0862"/>
    <w:rsid w:val="002C7AD1"/>
    <w:rsid w:val="002E6D7E"/>
    <w:rsid w:val="002F1914"/>
    <w:rsid w:val="00303E74"/>
    <w:rsid w:val="0030499A"/>
    <w:rsid w:val="00312C36"/>
    <w:rsid w:val="003176A2"/>
    <w:rsid w:val="00323F45"/>
    <w:rsid w:val="00340CA8"/>
    <w:rsid w:val="00342FD2"/>
    <w:rsid w:val="00345392"/>
    <w:rsid w:val="00350EB3"/>
    <w:rsid w:val="00355384"/>
    <w:rsid w:val="003565E8"/>
    <w:rsid w:val="003741F7"/>
    <w:rsid w:val="003746C6"/>
    <w:rsid w:val="00375BEF"/>
    <w:rsid w:val="0037648C"/>
    <w:rsid w:val="003766B9"/>
    <w:rsid w:val="00392765"/>
    <w:rsid w:val="003A2FCE"/>
    <w:rsid w:val="003A43C2"/>
    <w:rsid w:val="003A597F"/>
    <w:rsid w:val="003B6705"/>
    <w:rsid w:val="003D2081"/>
    <w:rsid w:val="003D6F38"/>
    <w:rsid w:val="003E0730"/>
    <w:rsid w:val="003F215E"/>
    <w:rsid w:val="00423368"/>
    <w:rsid w:val="00423618"/>
    <w:rsid w:val="0042796B"/>
    <w:rsid w:val="00456CCB"/>
    <w:rsid w:val="00463452"/>
    <w:rsid w:val="00465964"/>
    <w:rsid w:val="004719B0"/>
    <w:rsid w:val="00490C6C"/>
    <w:rsid w:val="004A64ED"/>
    <w:rsid w:val="004B4476"/>
    <w:rsid w:val="004B7112"/>
    <w:rsid w:val="004C0384"/>
    <w:rsid w:val="004C4B1D"/>
    <w:rsid w:val="004E03D2"/>
    <w:rsid w:val="004E5C57"/>
    <w:rsid w:val="004E7EAC"/>
    <w:rsid w:val="004F374B"/>
    <w:rsid w:val="004F44ED"/>
    <w:rsid w:val="00505D36"/>
    <w:rsid w:val="0051314B"/>
    <w:rsid w:val="00526A0C"/>
    <w:rsid w:val="005413E3"/>
    <w:rsid w:val="00546E75"/>
    <w:rsid w:val="00555CC1"/>
    <w:rsid w:val="00570D73"/>
    <w:rsid w:val="00573B63"/>
    <w:rsid w:val="00590EFB"/>
    <w:rsid w:val="00592236"/>
    <w:rsid w:val="005936E6"/>
    <w:rsid w:val="00597917"/>
    <w:rsid w:val="005A2236"/>
    <w:rsid w:val="005A2AD0"/>
    <w:rsid w:val="005B2F37"/>
    <w:rsid w:val="005B4E5A"/>
    <w:rsid w:val="005C4B31"/>
    <w:rsid w:val="005D4790"/>
    <w:rsid w:val="005D54DA"/>
    <w:rsid w:val="005F1E57"/>
    <w:rsid w:val="005F66F3"/>
    <w:rsid w:val="0060561E"/>
    <w:rsid w:val="00615917"/>
    <w:rsid w:val="00620125"/>
    <w:rsid w:val="00624E5D"/>
    <w:rsid w:val="0062603E"/>
    <w:rsid w:val="00626941"/>
    <w:rsid w:val="00632CAC"/>
    <w:rsid w:val="00636073"/>
    <w:rsid w:val="00640683"/>
    <w:rsid w:val="006555AB"/>
    <w:rsid w:val="00656D20"/>
    <w:rsid w:val="00656E64"/>
    <w:rsid w:val="00662AEE"/>
    <w:rsid w:val="00667DD8"/>
    <w:rsid w:val="00671704"/>
    <w:rsid w:val="00673184"/>
    <w:rsid w:val="00675961"/>
    <w:rsid w:val="0068153F"/>
    <w:rsid w:val="006822CA"/>
    <w:rsid w:val="00683C22"/>
    <w:rsid w:val="0068661A"/>
    <w:rsid w:val="006A2B0C"/>
    <w:rsid w:val="006B4642"/>
    <w:rsid w:val="006E1D49"/>
    <w:rsid w:val="006E2BB4"/>
    <w:rsid w:val="006E2C99"/>
    <w:rsid w:val="006E453A"/>
    <w:rsid w:val="006E7C6F"/>
    <w:rsid w:val="006F27DB"/>
    <w:rsid w:val="007004B3"/>
    <w:rsid w:val="00702B4D"/>
    <w:rsid w:val="00704BD5"/>
    <w:rsid w:val="00705F68"/>
    <w:rsid w:val="00706C67"/>
    <w:rsid w:val="0071445F"/>
    <w:rsid w:val="0071576D"/>
    <w:rsid w:val="00727ECB"/>
    <w:rsid w:val="0073013E"/>
    <w:rsid w:val="0073126F"/>
    <w:rsid w:val="007313BE"/>
    <w:rsid w:val="007329FD"/>
    <w:rsid w:val="00734F2C"/>
    <w:rsid w:val="00737F18"/>
    <w:rsid w:val="0074070B"/>
    <w:rsid w:val="0074451B"/>
    <w:rsid w:val="00763C01"/>
    <w:rsid w:val="00763EC0"/>
    <w:rsid w:val="007657BC"/>
    <w:rsid w:val="007669E5"/>
    <w:rsid w:val="007713D2"/>
    <w:rsid w:val="00784F1A"/>
    <w:rsid w:val="0079704F"/>
    <w:rsid w:val="007A2A66"/>
    <w:rsid w:val="007A4B64"/>
    <w:rsid w:val="007B0F69"/>
    <w:rsid w:val="007B3F2C"/>
    <w:rsid w:val="007B48BE"/>
    <w:rsid w:val="007C15F5"/>
    <w:rsid w:val="007C375B"/>
    <w:rsid w:val="007D348C"/>
    <w:rsid w:val="007D383C"/>
    <w:rsid w:val="007D51FC"/>
    <w:rsid w:val="007E7634"/>
    <w:rsid w:val="007F5163"/>
    <w:rsid w:val="0080534A"/>
    <w:rsid w:val="0082067C"/>
    <w:rsid w:val="00821FE4"/>
    <w:rsid w:val="00824DEE"/>
    <w:rsid w:val="008263A1"/>
    <w:rsid w:val="00830F17"/>
    <w:rsid w:val="00832475"/>
    <w:rsid w:val="00832A96"/>
    <w:rsid w:val="008342B2"/>
    <w:rsid w:val="008347FA"/>
    <w:rsid w:val="0083754E"/>
    <w:rsid w:val="00840AB7"/>
    <w:rsid w:val="0085003C"/>
    <w:rsid w:val="00852AF0"/>
    <w:rsid w:val="00855F6B"/>
    <w:rsid w:val="0088219E"/>
    <w:rsid w:val="008862D6"/>
    <w:rsid w:val="00895250"/>
    <w:rsid w:val="008B03E6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212AF"/>
    <w:rsid w:val="009365F9"/>
    <w:rsid w:val="00942F12"/>
    <w:rsid w:val="0095210C"/>
    <w:rsid w:val="0097236B"/>
    <w:rsid w:val="00972829"/>
    <w:rsid w:val="00976A40"/>
    <w:rsid w:val="00983B25"/>
    <w:rsid w:val="00984E0B"/>
    <w:rsid w:val="00993C56"/>
    <w:rsid w:val="00995980"/>
    <w:rsid w:val="009A05C8"/>
    <w:rsid w:val="009A2346"/>
    <w:rsid w:val="009A4697"/>
    <w:rsid w:val="009A4E87"/>
    <w:rsid w:val="009B04F2"/>
    <w:rsid w:val="009B6A65"/>
    <w:rsid w:val="009C1E92"/>
    <w:rsid w:val="009C6BE6"/>
    <w:rsid w:val="009D2A0F"/>
    <w:rsid w:val="009D2E2D"/>
    <w:rsid w:val="009D5969"/>
    <w:rsid w:val="009D5FFF"/>
    <w:rsid w:val="009D6C37"/>
    <w:rsid w:val="009D727E"/>
    <w:rsid w:val="009E4826"/>
    <w:rsid w:val="009E4C68"/>
    <w:rsid w:val="009E51A0"/>
    <w:rsid w:val="009F49D8"/>
    <w:rsid w:val="00A14E83"/>
    <w:rsid w:val="00A16472"/>
    <w:rsid w:val="00A2294E"/>
    <w:rsid w:val="00A23AAB"/>
    <w:rsid w:val="00A255F2"/>
    <w:rsid w:val="00A318BE"/>
    <w:rsid w:val="00A36765"/>
    <w:rsid w:val="00A6017D"/>
    <w:rsid w:val="00A60378"/>
    <w:rsid w:val="00A66A3D"/>
    <w:rsid w:val="00A72158"/>
    <w:rsid w:val="00A82010"/>
    <w:rsid w:val="00A84F32"/>
    <w:rsid w:val="00A97A6B"/>
    <w:rsid w:val="00AB39EF"/>
    <w:rsid w:val="00AC2BB5"/>
    <w:rsid w:val="00AC4985"/>
    <w:rsid w:val="00AD2418"/>
    <w:rsid w:val="00AE0E53"/>
    <w:rsid w:val="00AE2978"/>
    <w:rsid w:val="00AE55DC"/>
    <w:rsid w:val="00AF3C5E"/>
    <w:rsid w:val="00B16A2C"/>
    <w:rsid w:val="00B17637"/>
    <w:rsid w:val="00B21758"/>
    <w:rsid w:val="00B319B1"/>
    <w:rsid w:val="00B325D1"/>
    <w:rsid w:val="00B40C53"/>
    <w:rsid w:val="00B63EAC"/>
    <w:rsid w:val="00B72F99"/>
    <w:rsid w:val="00B87B03"/>
    <w:rsid w:val="00B91E01"/>
    <w:rsid w:val="00B95429"/>
    <w:rsid w:val="00B95729"/>
    <w:rsid w:val="00BB0408"/>
    <w:rsid w:val="00BB2C13"/>
    <w:rsid w:val="00BC08C8"/>
    <w:rsid w:val="00BC1ED8"/>
    <w:rsid w:val="00BD470D"/>
    <w:rsid w:val="00BD5E73"/>
    <w:rsid w:val="00BD7ACA"/>
    <w:rsid w:val="00BE4C60"/>
    <w:rsid w:val="00BF0385"/>
    <w:rsid w:val="00BF185C"/>
    <w:rsid w:val="00BF5276"/>
    <w:rsid w:val="00C030CC"/>
    <w:rsid w:val="00C06D65"/>
    <w:rsid w:val="00C249F0"/>
    <w:rsid w:val="00C40A0B"/>
    <w:rsid w:val="00C562AD"/>
    <w:rsid w:val="00C603A6"/>
    <w:rsid w:val="00C64A62"/>
    <w:rsid w:val="00C71A5D"/>
    <w:rsid w:val="00C732B1"/>
    <w:rsid w:val="00C73B33"/>
    <w:rsid w:val="00C76B89"/>
    <w:rsid w:val="00C81D31"/>
    <w:rsid w:val="00C86541"/>
    <w:rsid w:val="00CA7010"/>
    <w:rsid w:val="00CB5B6D"/>
    <w:rsid w:val="00CC0951"/>
    <w:rsid w:val="00CC1A82"/>
    <w:rsid w:val="00CC6A37"/>
    <w:rsid w:val="00CD2411"/>
    <w:rsid w:val="00CE6B13"/>
    <w:rsid w:val="00CF4C7D"/>
    <w:rsid w:val="00CF6289"/>
    <w:rsid w:val="00CF7E2C"/>
    <w:rsid w:val="00D02888"/>
    <w:rsid w:val="00D046D6"/>
    <w:rsid w:val="00D11BBC"/>
    <w:rsid w:val="00D12461"/>
    <w:rsid w:val="00D313E8"/>
    <w:rsid w:val="00D32634"/>
    <w:rsid w:val="00D3342E"/>
    <w:rsid w:val="00D3752A"/>
    <w:rsid w:val="00D45963"/>
    <w:rsid w:val="00D45CE1"/>
    <w:rsid w:val="00D53403"/>
    <w:rsid w:val="00D654D6"/>
    <w:rsid w:val="00D73126"/>
    <w:rsid w:val="00D93ADD"/>
    <w:rsid w:val="00D9789D"/>
    <w:rsid w:val="00DA11C0"/>
    <w:rsid w:val="00DA351C"/>
    <w:rsid w:val="00DB118B"/>
    <w:rsid w:val="00DD5049"/>
    <w:rsid w:val="00DE38F1"/>
    <w:rsid w:val="00DE4CF2"/>
    <w:rsid w:val="00DF10B8"/>
    <w:rsid w:val="00E01811"/>
    <w:rsid w:val="00E03B46"/>
    <w:rsid w:val="00E17847"/>
    <w:rsid w:val="00E3414A"/>
    <w:rsid w:val="00E40A11"/>
    <w:rsid w:val="00E4541E"/>
    <w:rsid w:val="00E45DD9"/>
    <w:rsid w:val="00E4708D"/>
    <w:rsid w:val="00E477CC"/>
    <w:rsid w:val="00E517EA"/>
    <w:rsid w:val="00E56938"/>
    <w:rsid w:val="00E57B38"/>
    <w:rsid w:val="00E7245F"/>
    <w:rsid w:val="00E76A19"/>
    <w:rsid w:val="00E81548"/>
    <w:rsid w:val="00E96286"/>
    <w:rsid w:val="00EA3E4B"/>
    <w:rsid w:val="00EA4E63"/>
    <w:rsid w:val="00EC03F3"/>
    <w:rsid w:val="00EC4066"/>
    <w:rsid w:val="00ED6F44"/>
    <w:rsid w:val="00ED7710"/>
    <w:rsid w:val="00ED789D"/>
    <w:rsid w:val="00EE022D"/>
    <w:rsid w:val="00EF1063"/>
    <w:rsid w:val="00EF3BDB"/>
    <w:rsid w:val="00F04BA4"/>
    <w:rsid w:val="00F05162"/>
    <w:rsid w:val="00F06554"/>
    <w:rsid w:val="00F10543"/>
    <w:rsid w:val="00F21441"/>
    <w:rsid w:val="00F325C1"/>
    <w:rsid w:val="00F336DA"/>
    <w:rsid w:val="00F3466A"/>
    <w:rsid w:val="00F46CCD"/>
    <w:rsid w:val="00F57024"/>
    <w:rsid w:val="00F61017"/>
    <w:rsid w:val="00F63A80"/>
    <w:rsid w:val="00F71844"/>
    <w:rsid w:val="00F832E0"/>
    <w:rsid w:val="00F9380F"/>
    <w:rsid w:val="00F96B94"/>
    <w:rsid w:val="00FA4C27"/>
    <w:rsid w:val="00FA5113"/>
    <w:rsid w:val="00FB0BA4"/>
    <w:rsid w:val="00FB0E30"/>
    <w:rsid w:val="00FC3FD5"/>
    <w:rsid w:val="00FC4611"/>
    <w:rsid w:val="00FC6C30"/>
    <w:rsid w:val="00FD024C"/>
    <w:rsid w:val="00FD2B6A"/>
    <w:rsid w:val="00FE0F73"/>
    <w:rsid w:val="00FE68A5"/>
    <w:rsid w:val="00FF2201"/>
    <w:rsid w:val="00FF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2"/>
      </w:numPr>
    </w:pPr>
  </w:style>
  <w:style w:type="paragraph" w:customStyle="1" w:styleId="02BAFUTitelnummeriert">
    <w:name w:val="02_BAFU_Titel_nummeriert"/>
    <w:basedOn w:val="Standard"/>
    <w:qFormat/>
    <w:rsid w:val="00EC4066"/>
    <w:pPr>
      <w:numPr>
        <w:numId w:val="6"/>
      </w:numPr>
      <w:tabs>
        <w:tab w:val="right" w:pos="9015"/>
      </w:tabs>
      <w:spacing w:after="284" w:line="283" w:lineRule="exact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1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3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AE2978"/>
    <w:pPr>
      <w:numPr>
        <w:numId w:val="7"/>
      </w:numPr>
      <w:spacing w:after="0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4"/>
      </w:numPr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5"/>
      </w:numPr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  <w:style w:type="paragraph" w:customStyle="1" w:styleId="Tabelle">
    <w:name w:val="Tabelle"/>
    <w:basedOn w:val="Standard"/>
    <w:rsid w:val="00824DEE"/>
    <w:pPr>
      <w:tabs>
        <w:tab w:val="left" w:pos="567"/>
      </w:tabs>
      <w:spacing w:before="20" w:after="20" w:line="240" w:lineRule="atLeast"/>
      <w:ind w:left="57" w:right="57"/>
    </w:pPr>
    <w:rPr>
      <w:rFonts w:ascii="Arial" w:eastAsia="Times New Roman" w:hAnsi="Arial" w:cs="Times New Roman"/>
      <w:sz w:val="18"/>
      <w:szCs w:val="20"/>
      <w:lang w:val="de-DE" w:eastAsia="de-DE"/>
    </w:rPr>
  </w:style>
  <w:style w:type="paragraph" w:customStyle="1" w:styleId="Erluterung1">
    <w:name w:val="Erläuterung 1"/>
    <w:basedOn w:val="Kopfzeile"/>
    <w:rsid w:val="00C249F0"/>
    <w:pPr>
      <w:tabs>
        <w:tab w:val="clear" w:pos="9072"/>
        <w:tab w:val="right" w:pos="8505"/>
      </w:tabs>
      <w:spacing w:line="280" w:lineRule="atLeast"/>
    </w:pPr>
    <w:rPr>
      <w:rFonts w:ascii="Helvetica" w:eastAsia="Times" w:hAnsi="Helvetica" w:cs="Times New Roman"/>
      <w:i/>
      <w:smallCaps/>
      <w:color w:val="008080"/>
      <w:sz w:val="2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44FE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44FE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144FE2"/>
    <w:pPr>
      <w:spacing w:after="0" w:line="280" w:lineRule="atLeast"/>
    </w:pPr>
    <w:rPr>
      <w:rFonts w:ascii="Helvetica" w:eastAsia="Times" w:hAnsi="Helvetica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144FE2"/>
    <w:rPr>
      <w:rFonts w:ascii="Helvetica" w:eastAsia="Times" w:hAnsi="Helvetica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mwelt-schweiz.ch/buwal/de/fachgebiete/fg_abfall/index.html" TargetMode="External"/><Relationship Id="rId1" Type="http://schemas.openxmlformats.org/officeDocument/2006/relationships/hyperlink" Target="http://www.bafu.admin.ch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80842815\Downloads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5EC55-DB14-43DD-80F0-C0C86481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</Template>
  <TotalTime>0</TotalTime>
  <Pages>5</Pages>
  <Words>1330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Administrator</cp:lastModifiedBy>
  <cp:revision>4</cp:revision>
  <cp:lastPrinted>2019-09-05T12:42:00Z</cp:lastPrinted>
  <dcterms:created xsi:type="dcterms:W3CDTF">2020-02-05T13:47:00Z</dcterms:created>
  <dcterms:modified xsi:type="dcterms:W3CDTF">2020-02-05T14:11:00Z</dcterms:modified>
</cp:coreProperties>
</file>